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F105" w14:textId="2A4CB42A" w:rsidR="005B2CB4" w:rsidRDefault="00AE50BA" w:rsidP="005B2CB4">
      <w:pPr>
        <w:rPr>
          <w:b/>
          <w:color w:val="365F91" w:themeColor="accent1" w:themeShade="BF"/>
          <w:sz w:val="32"/>
          <w:szCs w:val="32"/>
        </w:rPr>
      </w:pPr>
      <w:r>
        <w:rPr>
          <w:b/>
          <w:color w:val="365F91" w:themeColor="accent1" w:themeShade="BF"/>
          <w:sz w:val="32"/>
          <w:szCs w:val="32"/>
        </w:rPr>
        <w:t>Data</w:t>
      </w:r>
      <w:r w:rsidR="005B2CB4">
        <w:rPr>
          <w:b/>
          <w:color w:val="365F91" w:themeColor="accent1" w:themeShade="BF"/>
          <w:sz w:val="32"/>
          <w:szCs w:val="32"/>
        </w:rPr>
        <w:t xml:space="preserve"> related </w:t>
      </w:r>
      <w:r>
        <w:rPr>
          <w:b/>
          <w:color w:val="365F91" w:themeColor="accent1" w:themeShade="BF"/>
          <w:sz w:val="32"/>
          <w:szCs w:val="32"/>
        </w:rPr>
        <w:t>regulations, Data Protection Impact Assessment and Data Sharing Agreement guidance for researchers</w:t>
      </w:r>
    </w:p>
    <w:p w14:paraId="4B9FAEC4" w14:textId="77777777" w:rsidR="005B2CB4" w:rsidRDefault="005B2CB4">
      <w:pPr>
        <w:pStyle w:val="TOCHeading"/>
        <w:rPr>
          <w:rFonts w:asciiTheme="minorHAnsi" w:eastAsiaTheme="minorHAnsi" w:hAnsiTheme="minorHAnsi" w:cstheme="minorBidi"/>
          <w:color w:val="auto"/>
          <w:sz w:val="22"/>
          <w:szCs w:val="22"/>
          <w:lang w:val="en-GB"/>
        </w:rPr>
      </w:pPr>
    </w:p>
    <w:sdt>
      <w:sdtPr>
        <w:rPr>
          <w:rFonts w:asciiTheme="minorHAnsi" w:eastAsiaTheme="minorHAnsi" w:hAnsiTheme="minorHAnsi" w:cstheme="minorBidi"/>
          <w:color w:val="auto"/>
          <w:sz w:val="22"/>
          <w:szCs w:val="22"/>
          <w:lang w:val="en-GB"/>
        </w:rPr>
        <w:id w:val="-1688516418"/>
        <w:docPartObj>
          <w:docPartGallery w:val="Table of Contents"/>
          <w:docPartUnique/>
        </w:docPartObj>
      </w:sdtPr>
      <w:sdtEndPr>
        <w:rPr>
          <w:b/>
          <w:bCs/>
          <w:noProof/>
        </w:rPr>
      </w:sdtEndPr>
      <w:sdtContent>
        <w:p w14:paraId="5532700B" w14:textId="25BFD6C9" w:rsidR="00BC7C4D" w:rsidRDefault="00BC7C4D">
          <w:pPr>
            <w:pStyle w:val="TOCHeading"/>
          </w:pPr>
          <w:r>
            <w:t>Contents</w:t>
          </w:r>
        </w:p>
        <w:p w14:paraId="7A27AA06" w14:textId="77777777" w:rsidR="00BC7C4D" w:rsidRPr="00BC7C4D" w:rsidRDefault="00BC7C4D" w:rsidP="00BC7C4D">
          <w:pPr>
            <w:rPr>
              <w:lang w:val="en-US"/>
            </w:rPr>
          </w:pPr>
        </w:p>
        <w:p w14:paraId="7C76B36C" w14:textId="2252E6D7" w:rsidR="005B2CB4" w:rsidRDefault="00BC7C4D">
          <w:pPr>
            <w:pStyle w:val="TOC1"/>
            <w:rPr>
              <w:rFonts w:eastAsiaTheme="minorEastAsia"/>
              <w:noProof/>
              <w:lang w:eastAsia="en-GB"/>
            </w:rPr>
          </w:pPr>
          <w:r>
            <w:fldChar w:fldCharType="begin"/>
          </w:r>
          <w:r>
            <w:instrText xml:space="preserve"> TOC \o "1-3" \h \z \u </w:instrText>
          </w:r>
          <w:r>
            <w:fldChar w:fldCharType="separate"/>
          </w:r>
          <w:hyperlink w:anchor="_Toc100218638" w:history="1">
            <w:r w:rsidR="005B2CB4" w:rsidRPr="005620EC">
              <w:rPr>
                <w:rStyle w:val="Hyperlink"/>
                <w:noProof/>
              </w:rPr>
              <w:t>Scope of document</w:t>
            </w:r>
            <w:r w:rsidR="005B2CB4">
              <w:rPr>
                <w:noProof/>
                <w:webHidden/>
              </w:rPr>
              <w:tab/>
            </w:r>
            <w:r w:rsidR="005B2CB4">
              <w:rPr>
                <w:noProof/>
                <w:webHidden/>
              </w:rPr>
              <w:fldChar w:fldCharType="begin"/>
            </w:r>
            <w:r w:rsidR="005B2CB4">
              <w:rPr>
                <w:noProof/>
                <w:webHidden/>
              </w:rPr>
              <w:instrText xml:space="preserve"> PAGEREF _Toc100218638 \h </w:instrText>
            </w:r>
            <w:r w:rsidR="005B2CB4">
              <w:rPr>
                <w:noProof/>
                <w:webHidden/>
              </w:rPr>
            </w:r>
            <w:r w:rsidR="005B2CB4">
              <w:rPr>
                <w:noProof/>
                <w:webHidden/>
              </w:rPr>
              <w:fldChar w:fldCharType="separate"/>
            </w:r>
            <w:r w:rsidR="0091593D">
              <w:rPr>
                <w:noProof/>
                <w:webHidden/>
              </w:rPr>
              <w:t>2</w:t>
            </w:r>
            <w:r w:rsidR="005B2CB4">
              <w:rPr>
                <w:noProof/>
                <w:webHidden/>
              </w:rPr>
              <w:fldChar w:fldCharType="end"/>
            </w:r>
          </w:hyperlink>
        </w:p>
        <w:p w14:paraId="3286D2F3" w14:textId="43964C05" w:rsidR="005B2CB4" w:rsidRDefault="001C15EF">
          <w:pPr>
            <w:pStyle w:val="TOC1"/>
            <w:rPr>
              <w:rFonts w:eastAsiaTheme="minorEastAsia"/>
              <w:noProof/>
              <w:lang w:eastAsia="en-GB"/>
            </w:rPr>
          </w:pPr>
          <w:hyperlink w:anchor="_Toc100218640" w:history="1">
            <w:r w:rsidR="005B2CB4" w:rsidRPr="005620EC">
              <w:rPr>
                <w:rStyle w:val="Hyperlink"/>
                <w:noProof/>
              </w:rPr>
              <w:t>1.</w:t>
            </w:r>
            <w:r w:rsidR="005B2CB4">
              <w:rPr>
                <w:rFonts w:eastAsiaTheme="minorEastAsia"/>
                <w:noProof/>
                <w:lang w:eastAsia="en-GB"/>
              </w:rPr>
              <w:tab/>
            </w:r>
            <w:r w:rsidR="005B2CB4" w:rsidRPr="005620EC">
              <w:rPr>
                <w:rStyle w:val="Hyperlink"/>
                <w:noProof/>
              </w:rPr>
              <w:t>What is personal data and when does GDPR apply</w:t>
            </w:r>
            <w:r w:rsidR="005B2CB4">
              <w:rPr>
                <w:noProof/>
                <w:webHidden/>
              </w:rPr>
              <w:tab/>
            </w:r>
            <w:r w:rsidR="005B2CB4">
              <w:rPr>
                <w:noProof/>
                <w:webHidden/>
              </w:rPr>
              <w:fldChar w:fldCharType="begin"/>
            </w:r>
            <w:r w:rsidR="005B2CB4">
              <w:rPr>
                <w:noProof/>
                <w:webHidden/>
              </w:rPr>
              <w:instrText xml:space="preserve"> PAGEREF _Toc100218640 \h </w:instrText>
            </w:r>
            <w:r w:rsidR="005B2CB4">
              <w:rPr>
                <w:noProof/>
                <w:webHidden/>
              </w:rPr>
            </w:r>
            <w:r w:rsidR="005B2CB4">
              <w:rPr>
                <w:noProof/>
                <w:webHidden/>
              </w:rPr>
              <w:fldChar w:fldCharType="separate"/>
            </w:r>
            <w:r w:rsidR="0091593D">
              <w:rPr>
                <w:noProof/>
                <w:webHidden/>
              </w:rPr>
              <w:t>3</w:t>
            </w:r>
            <w:r w:rsidR="005B2CB4">
              <w:rPr>
                <w:noProof/>
                <w:webHidden/>
              </w:rPr>
              <w:fldChar w:fldCharType="end"/>
            </w:r>
          </w:hyperlink>
        </w:p>
        <w:p w14:paraId="795783EC" w14:textId="2E88841A" w:rsidR="005B2CB4" w:rsidRDefault="001C15EF">
          <w:pPr>
            <w:pStyle w:val="TOC2"/>
            <w:rPr>
              <w:rFonts w:eastAsiaTheme="minorEastAsia"/>
              <w:noProof/>
              <w:lang w:eastAsia="en-GB"/>
            </w:rPr>
          </w:pPr>
          <w:hyperlink w:anchor="_Toc100218641" w:history="1">
            <w:r w:rsidR="005B2CB4" w:rsidRPr="005620EC">
              <w:rPr>
                <w:rStyle w:val="Hyperlink"/>
                <w:noProof/>
              </w:rPr>
              <w:t>1.1 What is the GDPR and DPA 2018?</w:t>
            </w:r>
            <w:r w:rsidR="005B2CB4">
              <w:rPr>
                <w:noProof/>
                <w:webHidden/>
              </w:rPr>
              <w:tab/>
            </w:r>
            <w:r w:rsidR="005B2CB4">
              <w:rPr>
                <w:noProof/>
                <w:webHidden/>
              </w:rPr>
              <w:fldChar w:fldCharType="begin"/>
            </w:r>
            <w:r w:rsidR="005B2CB4">
              <w:rPr>
                <w:noProof/>
                <w:webHidden/>
              </w:rPr>
              <w:instrText xml:space="preserve"> PAGEREF _Toc100218641 \h </w:instrText>
            </w:r>
            <w:r w:rsidR="005B2CB4">
              <w:rPr>
                <w:noProof/>
                <w:webHidden/>
              </w:rPr>
            </w:r>
            <w:r w:rsidR="005B2CB4">
              <w:rPr>
                <w:noProof/>
                <w:webHidden/>
              </w:rPr>
              <w:fldChar w:fldCharType="separate"/>
            </w:r>
            <w:r w:rsidR="0091593D">
              <w:rPr>
                <w:noProof/>
                <w:webHidden/>
              </w:rPr>
              <w:t>3</w:t>
            </w:r>
            <w:r w:rsidR="005B2CB4">
              <w:rPr>
                <w:noProof/>
                <w:webHidden/>
              </w:rPr>
              <w:fldChar w:fldCharType="end"/>
            </w:r>
          </w:hyperlink>
        </w:p>
        <w:p w14:paraId="2D6CF829" w14:textId="3919E0FD" w:rsidR="005B2CB4" w:rsidRDefault="001C15EF">
          <w:pPr>
            <w:pStyle w:val="TOC2"/>
            <w:rPr>
              <w:rFonts w:eastAsiaTheme="minorEastAsia"/>
              <w:noProof/>
              <w:lang w:eastAsia="en-GB"/>
            </w:rPr>
          </w:pPr>
          <w:hyperlink w:anchor="_Toc100218642" w:history="1">
            <w:r w:rsidR="005B2CB4" w:rsidRPr="005620EC">
              <w:rPr>
                <w:rStyle w:val="Hyperlink"/>
                <w:noProof/>
              </w:rPr>
              <w:t>1.2 What is personal data?</w:t>
            </w:r>
            <w:r w:rsidR="005B2CB4">
              <w:rPr>
                <w:noProof/>
                <w:webHidden/>
              </w:rPr>
              <w:tab/>
            </w:r>
            <w:r w:rsidR="005B2CB4">
              <w:rPr>
                <w:noProof/>
                <w:webHidden/>
              </w:rPr>
              <w:fldChar w:fldCharType="begin"/>
            </w:r>
            <w:r w:rsidR="005B2CB4">
              <w:rPr>
                <w:noProof/>
                <w:webHidden/>
              </w:rPr>
              <w:instrText xml:space="preserve"> PAGEREF _Toc100218642 \h </w:instrText>
            </w:r>
            <w:r w:rsidR="005B2CB4">
              <w:rPr>
                <w:noProof/>
                <w:webHidden/>
              </w:rPr>
            </w:r>
            <w:r w:rsidR="005B2CB4">
              <w:rPr>
                <w:noProof/>
                <w:webHidden/>
              </w:rPr>
              <w:fldChar w:fldCharType="separate"/>
            </w:r>
            <w:r w:rsidR="0091593D">
              <w:rPr>
                <w:noProof/>
                <w:webHidden/>
              </w:rPr>
              <w:t>3</w:t>
            </w:r>
            <w:r w:rsidR="005B2CB4">
              <w:rPr>
                <w:noProof/>
                <w:webHidden/>
              </w:rPr>
              <w:fldChar w:fldCharType="end"/>
            </w:r>
          </w:hyperlink>
        </w:p>
        <w:p w14:paraId="48790773" w14:textId="13D31EB8" w:rsidR="005B2CB4" w:rsidRDefault="001C15EF">
          <w:pPr>
            <w:pStyle w:val="TOC2"/>
            <w:tabs>
              <w:tab w:val="left" w:pos="880"/>
            </w:tabs>
            <w:rPr>
              <w:rFonts w:eastAsiaTheme="minorEastAsia"/>
              <w:noProof/>
              <w:lang w:eastAsia="en-GB"/>
            </w:rPr>
          </w:pPr>
          <w:hyperlink w:anchor="_Toc100218643" w:history="1">
            <w:r w:rsidR="005B2CB4" w:rsidRPr="005620EC">
              <w:rPr>
                <w:rStyle w:val="Hyperlink"/>
                <w:noProof/>
              </w:rPr>
              <w:t>1.3</w:t>
            </w:r>
            <w:r w:rsidR="005B2CB4">
              <w:rPr>
                <w:rFonts w:eastAsiaTheme="minorEastAsia"/>
                <w:noProof/>
                <w:lang w:eastAsia="en-GB"/>
              </w:rPr>
              <w:tab/>
            </w:r>
            <w:r w:rsidR="005B2CB4" w:rsidRPr="005620EC">
              <w:rPr>
                <w:rStyle w:val="Hyperlink"/>
                <w:noProof/>
              </w:rPr>
              <w:t>The UK GDPR key principles</w:t>
            </w:r>
            <w:r w:rsidR="005B2CB4">
              <w:rPr>
                <w:noProof/>
                <w:webHidden/>
              </w:rPr>
              <w:tab/>
            </w:r>
            <w:r w:rsidR="005B2CB4">
              <w:rPr>
                <w:noProof/>
                <w:webHidden/>
              </w:rPr>
              <w:fldChar w:fldCharType="begin"/>
            </w:r>
            <w:r w:rsidR="005B2CB4">
              <w:rPr>
                <w:noProof/>
                <w:webHidden/>
              </w:rPr>
              <w:instrText xml:space="preserve"> PAGEREF _Toc100218643 \h </w:instrText>
            </w:r>
            <w:r w:rsidR="005B2CB4">
              <w:rPr>
                <w:noProof/>
                <w:webHidden/>
              </w:rPr>
            </w:r>
            <w:r w:rsidR="005B2CB4">
              <w:rPr>
                <w:noProof/>
                <w:webHidden/>
              </w:rPr>
              <w:fldChar w:fldCharType="separate"/>
            </w:r>
            <w:r w:rsidR="0091593D">
              <w:rPr>
                <w:noProof/>
                <w:webHidden/>
              </w:rPr>
              <w:t>4</w:t>
            </w:r>
            <w:r w:rsidR="005B2CB4">
              <w:rPr>
                <w:noProof/>
                <w:webHidden/>
              </w:rPr>
              <w:fldChar w:fldCharType="end"/>
            </w:r>
          </w:hyperlink>
        </w:p>
        <w:p w14:paraId="661F9659" w14:textId="460974CD" w:rsidR="005B2CB4" w:rsidRDefault="001C15EF">
          <w:pPr>
            <w:pStyle w:val="TOC2"/>
            <w:rPr>
              <w:rFonts w:eastAsiaTheme="minorEastAsia"/>
              <w:noProof/>
              <w:lang w:eastAsia="en-GB"/>
            </w:rPr>
          </w:pPr>
          <w:hyperlink w:anchor="_Toc100218644" w:history="1">
            <w:r w:rsidR="005B2CB4" w:rsidRPr="005620EC">
              <w:rPr>
                <w:rStyle w:val="Hyperlink"/>
                <w:noProof/>
              </w:rPr>
              <w:t>1.4 What is the difference between anonymised and pseudo anonymised data?</w:t>
            </w:r>
            <w:r w:rsidR="005B2CB4">
              <w:rPr>
                <w:noProof/>
                <w:webHidden/>
              </w:rPr>
              <w:tab/>
            </w:r>
            <w:r w:rsidR="005B2CB4">
              <w:rPr>
                <w:noProof/>
                <w:webHidden/>
              </w:rPr>
              <w:fldChar w:fldCharType="begin"/>
            </w:r>
            <w:r w:rsidR="005B2CB4">
              <w:rPr>
                <w:noProof/>
                <w:webHidden/>
              </w:rPr>
              <w:instrText xml:space="preserve"> PAGEREF _Toc100218644 \h </w:instrText>
            </w:r>
            <w:r w:rsidR="005B2CB4">
              <w:rPr>
                <w:noProof/>
                <w:webHidden/>
              </w:rPr>
            </w:r>
            <w:r w:rsidR="005B2CB4">
              <w:rPr>
                <w:noProof/>
                <w:webHidden/>
              </w:rPr>
              <w:fldChar w:fldCharType="separate"/>
            </w:r>
            <w:r w:rsidR="0091593D">
              <w:rPr>
                <w:noProof/>
                <w:webHidden/>
              </w:rPr>
              <w:t>4</w:t>
            </w:r>
            <w:r w:rsidR="005B2CB4">
              <w:rPr>
                <w:noProof/>
                <w:webHidden/>
              </w:rPr>
              <w:fldChar w:fldCharType="end"/>
            </w:r>
          </w:hyperlink>
        </w:p>
        <w:p w14:paraId="64D7D0C9" w14:textId="76CE1F8A" w:rsidR="005B2CB4" w:rsidRDefault="001C15EF">
          <w:pPr>
            <w:pStyle w:val="TOC2"/>
            <w:rPr>
              <w:rFonts w:eastAsiaTheme="minorEastAsia"/>
              <w:noProof/>
              <w:lang w:eastAsia="en-GB"/>
            </w:rPr>
          </w:pPr>
          <w:hyperlink w:anchor="_Toc100218645" w:history="1">
            <w:r w:rsidR="005B2CB4" w:rsidRPr="005620EC">
              <w:rPr>
                <w:rStyle w:val="Hyperlink"/>
                <w:noProof/>
              </w:rPr>
              <w:t>1.5 What is a link/identifying key?</w:t>
            </w:r>
            <w:r w:rsidR="005B2CB4">
              <w:rPr>
                <w:noProof/>
                <w:webHidden/>
              </w:rPr>
              <w:tab/>
            </w:r>
            <w:r w:rsidR="005B2CB4">
              <w:rPr>
                <w:noProof/>
                <w:webHidden/>
              </w:rPr>
              <w:fldChar w:fldCharType="begin"/>
            </w:r>
            <w:r w:rsidR="005B2CB4">
              <w:rPr>
                <w:noProof/>
                <w:webHidden/>
              </w:rPr>
              <w:instrText xml:space="preserve"> PAGEREF _Toc100218645 \h </w:instrText>
            </w:r>
            <w:r w:rsidR="005B2CB4">
              <w:rPr>
                <w:noProof/>
                <w:webHidden/>
              </w:rPr>
            </w:r>
            <w:r w:rsidR="005B2CB4">
              <w:rPr>
                <w:noProof/>
                <w:webHidden/>
              </w:rPr>
              <w:fldChar w:fldCharType="separate"/>
            </w:r>
            <w:r w:rsidR="0091593D">
              <w:rPr>
                <w:noProof/>
                <w:webHidden/>
              </w:rPr>
              <w:t>5</w:t>
            </w:r>
            <w:r w:rsidR="005B2CB4">
              <w:rPr>
                <w:noProof/>
                <w:webHidden/>
              </w:rPr>
              <w:fldChar w:fldCharType="end"/>
            </w:r>
          </w:hyperlink>
        </w:p>
        <w:p w14:paraId="4671A3E8" w14:textId="0C113FEC" w:rsidR="005B2CB4" w:rsidRDefault="001C15EF">
          <w:pPr>
            <w:pStyle w:val="TOC2"/>
            <w:rPr>
              <w:rFonts w:eastAsiaTheme="minorEastAsia"/>
              <w:noProof/>
              <w:lang w:eastAsia="en-GB"/>
            </w:rPr>
          </w:pPr>
          <w:hyperlink w:anchor="_Toc100218646" w:history="1">
            <w:r w:rsidR="005B2CB4" w:rsidRPr="005620EC">
              <w:rPr>
                <w:rStyle w:val="Hyperlink"/>
                <w:noProof/>
              </w:rPr>
              <w:t>1.6 What are special categories data?</w:t>
            </w:r>
            <w:r w:rsidR="005B2CB4">
              <w:rPr>
                <w:noProof/>
                <w:webHidden/>
              </w:rPr>
              <w:tab/>
            </w:r>
            <w:r w:rsidR="005B2CB4">
              <w:rPr>
                <w:noProof/>
                <w:webHidden/>
              </w:rPr>
              <w:fldChar w:fldCharType="begin"/>
            </w:r>
            <w:r w:rsidR="005B2CB4">
              <w:rPr>
                <w:noProof/>
                <w:webHidden/>
              </w:rPr>
              <w:instrText xml:space="preserve"> PAGEREF _Toc100218646 \h </w:instrText>
            </w:r>
            <w:r w:rsidR="005B2CB4">
              <w:rPr>
                <w:noProof/>
                <w:webHidden/>
              </w:rPr>
            </w:r>
            <w:r w:rsidR="005B2CB4">
              <w:rPr>
                <w:noProof/>
                <w:webHidden/>
              </w:rPr>
              <w:fldChar w:fldCharType="separate"/>
            </w:r>
            <w:r w:rsidR="0091593D">
              <w:rPr>
                <w:noProof/>
                <w:webHidden/>
              </w:rPr>
              <w:t>6</w:t>
            </w:r>
            <w:r w:rsidR="005B2CB4">
              <w:rPr>
                <w:noProof/>
                <w:webHidden/>
              </w:rPr>
              <w:fldChar w:fldCharType="end"/>
            </w:r>
          </w:hyperlink>
        </w:p>
        <w:p w14:paraId="10A9E2E9" w14:textId="56B68F6A" w:rsidR="005B2CB4" w:rsidRDefault="001C15EF">
          <w:pPr>
            <w:pStyle w:val="TOC2"/>
            <w:rPr>
              <w:rFonts w:eastAsiaTheme="minorEastAsia"/>
              <w:noProof/>
              <w:lang w:eastAsia="en-GB"/>
            </w:rPr>
          </w:pPr>
          <w:hyperlink w:anchor="_Toc100218647" w:history="1">
            <w:r w:rsidR="005B2CB4" w:rsidRPr="005620EC">
              <w:rPr>
                <w:rStyle w:val="Hyperlink"/>
                <w:noProof/>
              </w:rPr>
              <w:t>1.7 What is the lawful basis for processing the Personal Data?</w:t>
            </w:r>
            <w:r w:rsidR="005B2CB4">
              <w:rPr>
                <w:noProof/>
                <w:webHidden/>
              </w:rPr>
              <w:tab/>
            </w:r>
            <w:r w:rsidR="005B2CB4">
              <w:rPr>
                <w:noProof/>
                <w:webHidden/>
              </w:rPr>
              <w:fldChar w:fldCharType="begin"/>
            </w:r>
            <w:r w:rsidR="005B2CB4">
              <w:rPr>
                <w:noProof/>
                <w:webHidden/>
              </w:rPr>
              <w:instrText xml:space="preserve"> PAGEREF _Toc100218647 \h </w:instrText>
            </w:r>
            <w:r w:rsidR="005B2CB4">
              <w:rPr>
                <w:noProof/>
                <w:webHidden/>
              </w:rPr>
            </w:r>
            <w:r w:rsidR="005B2CB4">
              <w:rPr>
                <w:noProof/>
                <w:webHidden/>
              </w:rPr>
              <w:fldChar w:fldCharType="separate"/>
            </w:r>
            <w:r w:rsidR="0091593D">
              <w:rPr>
                <w:noProof/>
                <w:webHidden/>
              </w:rPr>
              <w:t>6</w:t>
            </w:r>
            <w:r w:rsidR="005B2CB4">
              <w:rPr>
                <w:noProof/>
                <w:webHidden/>
              </w:rPr>
              <w:fldChar w:fldCharType="end"/>
            </w:r>
          </w:hyperlink>
        </w:p>
        <w:p w14:paraId="6072C023" w14:textId="475B8F7E" w:rsidR="005B2CB4" w:rsidRDefault="001C15EF">
          <w:pPr>
            <w:pStyle w:val="TOC1"/>
            <w:rPr>
              <w:rFonts w:eastAsiaTheme="minorEastAsia"/>
              <w:noProof/>
              <w:lang w:eastAsia="en-GB"/>
            </w:rPr>
          </w:pPr>
          <w:hyperlink w:anchor="_Toc100218648" w:history="1">
            <w:r w:rsidR="005B2CB4" w:rsidRPr="005620EC">
              <w:rPr>
                <w:rStyle w:val="Hyperlink"/>
                <w:noProof/>
              </w:rPr>
              <w:t>2.</w:t>
            </w:r>
            <w:r w:rsidR="005B2CB4">
              <w:rPr>
                <w:rFonts w:eastAsiaTheme="minorEastAsia"/>
                <w:noProof/>
                <w:lang w:eastAsia="en-GB"/>
              </w:rPr>
              <w:tab/>
            </w:r>
            <w:r w:rsidR="005B2CB4" w:rsidRPr="005620EC">
              <w:rPr>
                <w:rStyle w:val="Hyperlink"/>
                <w:noProof/>
              </w:rPr>
              <w:t>How are Data Controllers and Data Processors  defined and why does this matter?</w:t>
            </w:r>
            <w:r w:rsidR="005B2CB4">
              <w:rPr>
                <w:noProof/>
                <w:webHidden/>
              </w:rPr>
              <w:tab/>
            </w:r>
            <w:r w:rsidR="005B2CB4">
              <w:rPr>
                <w:noProof/>
                <w:webHidden/>
              </w:rPr>
              <w:fldChar w:fldCharType="begin"/>
            </w:r>
            <w:r w:rsidR="005B2CB4">
              <w:rPr>
                <w:noProof/>
                <w:webHidden/>
              </w:rPr>
              <w:instrText xml:space="preserve"> PAGEREF _Toc100218648 \h </w:instrText>
            </w:r>
            <w:r w:rsidR="005B2CB4">
              <w:rPr>
                <w:noProof/>
                <w:webHidden/>
              </w:rPr>
            </w:r>
            <w:r w:rsidR="005B2CB4">
              <w:rPr>
                <w:noProof/>
                <w:webHidden/>
              </w:rPr>
              <w:fldChar w:fldCharType="separate"/>
            </w:r>
            <w:r w:rsidR="0091593D">
              <w:rPr>
                <w:noProof/>
                <w:webHidden/>
              </w:rPr>
              <w:t>8</w:t>
            </w:r>
            <w:r w:rsidR="005B2CB4">
              <w:rPr>
                <w:noProof/>
                <w:webHidden/>
              </w:rPr>
              <w:fldChar w:fldCharType="end"/>
            </w:r>
          </w:hyperlink>
        </w:p>
        <w:p w14:paraId="2D41E119" w14:textId="7E591262" w:rsidR="005B2CB4" w:rsidRDefault="001C15EF">
          <w:pPr>
            <w:pStyle w:val="TOC2"/>
            <w:rPr>
              <w:rFonts w:eastAsiaTheme="minorEastAsia"/>
              <w:noProof/>
              <w:lang w:eastAsia="en-GB"/>
            </w:rPr>
          </w:pPr>
          <w:hyperlink w:anchor="_Toc100218649" w:history="1">
            <w:r w:rsidR="005B2CB4" w:rsidRPr="005620EC">
              <w:rPr>
                <w:rStyle w:val="Hyperlink"/>
                <w:noProof/>
              </w:rPr>
              <w:t>2.1 What is the difference between a data controller and a data processor?</w:t>
            </w:r>
            <w:r w:rsidR="005B2CB4">
              <w:rPr>
                <w:noProof/>
                <w:webHidden/>
              </w:rPr>
              <w:tab/>
            </w:r>
            <w:r w:rsidR="005B2CB4">
              <w:rPr>
                <w:noProof/>
                <w:webHidden/>
              </w:rPr>
              <w:fldChar w:fldCharType="begin"/>
            </w:r>
            <w:r w:rsidR="005B2CB4">
              <w:rPr>
                <w:noProof/>
                <w:webHidden/>
              </w:rPr>
              <w:instrText xml:space="preserve"> PAGEREF _Toc100218649 \h </w:instrText>
            </w:r>
            <w:r w:rsidR="005B2CB4">
              <w:rPr>
                <w:noProof/>
                <w:webHidden/>
              </w:rPr>
            </w:r>
            <w:r w:rsidR="005B2CB4">
              <w:rPr>
                <w:noProof/>
                <w:webHidden/>
              </w:rPr>
              <w:fldChar w:fldCharType="separate"/>
            </w:r>
            <w:r w:rsidR="0091593D">
              <w:rPr>
                <w:noProof/>
                <w:webHidden/>
              </w:rPr>
              <w:t>8</w:t>
            </w:r>
            <w:r w:rsidR="005B2CB4">
              <w:rPr>
                <w:noProof/>
                <w:webHidden/>
              </w:rPr>
              <w:fldChar w:fldCharType="end"/>
            </w:r>
          </w:hyperlink>
        </w:p>
        <w:p w14:paraId="53654284" w14:textId="7156E912" w:rsidR="005B2CB4" w:rsidRDefault="001C15EF">
          <w:pPr>
            <w:pStyle w:val="TOC2"/>
            <w:rPr>
              <w:rFonts w:eastAsiaTheme="minorEastAsia"/>
              <w:noProof/>
              <w:lang w:eastAsia="en-GB"/>
            </w:rPr>
          </w:pPr>
          <w:hyperlink w:anchor="_Toc100218650" w:history="1">
            <w:r w:rsidR="005B2CB4" w:rsidRPr="005620EC">
              <w:rPr>
                <w:rStyle w:val="Hyperlink"/>
                <w:noProof/>
              </w:rPr>
              <w:t>2.2 Determining whether an organisation is a data controller or processor</w:t>
            </w:r>
            <w:r w:rsidR="005B2CB4">
              <w:rPr>
                <w:noProof/>
                <w:webHidden/>
              </w:rPr>
              <w:tab/>
            </w:r>
            <w:r w:rsidR="005B2CB4">
              <w:rPr>
                <w:noProof/>
                <w:webHidden/>
              </w:rPr>
              <w:fldChar w:fldCharType="begin"/>
            </w:r>
            <w:r w:rsidR="005B2CB4">
              <w:rPr>
                <w:noProof/>
                <w:webHidden/>
              </w:rPr>
              <w:instrText xml:space="preserve"> PAGEREF _Toc100218650 \h </w:instrText>
            </w:r>
            <w:r w:rsidR="005B2CB4">
              <w:rPr>
                <w:noProof/>
                <w:webHidden/>
              </w:rPr>
            </w:r>
            <w:r w:rsidR="005B2CB4">
              <w:rPr>
                <w:noProof/>
                <w:webHidden/>
              </w:rPr>
              <w:fldChar w:fldCharType="separate"/>
            </w:r>
            <w:r w:rsidR="0091593D">
              <w:rPr>
                <w:noProof/>
                <w:webHidden/>
              </w:rPr>
              <w:t>9</w:t>
            </w:r>
            <w:r w:rsidR="005B2CB4">
              <w:rPr>
                <w:noProof/>
                <w:webHidden/>
              </w:rPr>
              <w:fldChar w:fldCharType="end"/>
            </w:r>
          </w:hyperlink>
        </w:p>
        <w:p w14:paraId="6EB591E6" w14:textId="3FD62503" w:rsidR="005B2CB4" w:rsidRDefault="001C15EF">
          <w:pPr>
            <w:pStyle w:val="TOC2"/>
            <w:rPr>
              <w:rFonts w:eastAsiaTheme="minorEastAsia"/>
              <w:noProof/>
              <w:lang w:eastAsia="en-GB"/>
            </w:rPr>
          </w:pPr>
          <w:hyperlink w:anchor="_Toc100218651" w:history="1">
            <w:r w:rsidR="005B2CB4" w:rsidRPr="005620EC">
              <w:rPr>
                <w:rStyle w:val="Hyperlink"/>
                <w:noProof/>
              </w:rPr>
              <w:t>2.3 What are joint controllers?</w:t>
            </w:r>
            <w:r w:rsidR="005B2CB4">
              <w:rPr>
                <w:noProof/>
                <w:webHidden/>
              </w:rPr>
              <w:tab/>
            </w:r>
            <w:r w:rsidR="005B2CB4">
              <w:rPr>
                <w:noProof/>
                <w:webHidden/>
              </w:rPr>
              <w:fldChar w:fldCharType="begin"/>
            </w:r>
            <w:r w:rsidR="005B2CB4">
              <w:rPr>
                <w:noProof/>
                <w:webHidden/>
              </w:rPr>
              <w:instrText xml:space="preserve"> PAGEREF _Toc100218651 \h </w:instrText>
            </w:r>
            <w:r w:rsidR="005B2CB4">
              <w:rPr>
                <w:noProof/>
                <w:webHidden/>
              </w:rPr>
            </w:r>
            <w:r w:rsidR="005B2CB4">
              <w:rPr>
                <w:noProof/>
                <w:webHidden/>
              </w:rPr>
              <w:fldChar w:fldCharType="separate"/>
            </w:r>
            <w:r w:rsidR="0091593D">
              <w:rPr>
                <w:noProof/>
                <w:webHidden/>
              </w:rPr>
              <w:t>10</w:t>
            </w:r>
            <w:r w:rsidR="005B2CB4">
              <w:rPr>
                <w:noProof/>
                <w:webHidden/>
              </w:rPr>
              <w:fldChar w:fldCharType="end"/>
            </w:r>
          </w:hyperlink>
        </w:p>
        <w:p w14:paraId="46AB1D7D" w14:textId="3D22B53A" w:rsidR="005B2CB4" w:rsidRDefault="001C15EF">
          <w:pPr>
            <w:pStyle w:val="TOC2"/>
            <w:rPr>
              <w:rFonts w:eastAsiaTheme="minorEastAsia"/>
              <w:noProof/>
              <w:lang w:eastAsia="en-GB"/>
            </w:rPr>
          </w:pPr>
          <w:hyperlink w:anchor="_Toc100218652" w:history="1">
            <w:r w:rsidR="005B2CB4" w:rsidRPr="005620EC">
              <w:rPr>
                <w:rStyle w:val="Hyperlink"/>
                <w:noProof/>
              </w:rPr>
              <w:t>2.4 Can a joint controller be held liable for non-compliance?</w:t>
            </w:r>
            <w:r w:rsidR="005B2CB4">
              <w:rPr>
                <w:noProof/>
                <w:webHidden/>
              </w:rPr>
              <w:tab/>
            </w:r>
            <w:r w:rsidR="005B2CB4">
              <w:rPr>
                <w:noProof/>
                <w:webHidden/>
              </w:rPr>
              <w:fldChar w:fldCharType="begin"/>
            </w:r>
            <w:r w:rsidR="005B2CB4">
              <w:rPr>
                <w:noProof/>
                <w:webHidden/>
              </w:rPr>
              <w:instrText xml:space="preserve"> PAGEREF _Toc100218652 \h </w:instrText>
            </w:r>
            <w:r w:rsidR="005B2CB4">
              <w:rPr>
                <w:noProof/>
                <w:webHidden/>
              </w:rPr>
            </w:r>
            <w:r w:rsidR="005B2CB4">
              <w:rPr>
                <w:noProof/>
                <w:webHidden/>
              </w:rPr>
              <w:fldChar w:fldCharType="separate"/>
            </w:r>
            <w:r w:rsidR="0091593D">
              <w:rPr>
                <w:noProof/>
                <w:webHidden/>
              </w:rPr>
              <w:t>10</w:t>
            </w:r>
            <w:r w:rsidR="005B2CB4">
              <w:rPr>
                <w:noProof/>
                <w:webHidden/>
              </w:rPr>
              <w:fldChar w:fldCharType="end"/>
            </w:r>
          </w:hyperlink>
        </w:p>
        <w:p w14:paraId="2D9724D8" w14:textId="4E156A30" w:rsidR="005B2CB4" w:rsidRDefault="001C15EF">
          <w:pPr>
            <w:pStyle w:val="TOC2"/>
            <w:rPr>
              <w:rFonts w:eastAsiaTheme="minorEastAsia"/>
              <w:noProof/>
              <w:lang w:eastAsia="en-GB"/>
            </w:rPr>
          </w:pPr>
          <w:hyperlink w:anchor="_Toc100218653" w:history="1">
            <w:r w:rsidR="005B2CB4" w:rsidRPr="005620EC">
              <w:rPr>
                <w:rStyle w:val="Hyperlink"/>
                <w:noProof/>
              </w:rPr>
              <w:t>2.5 Can an organisation be a data controller and a data processor as well?</w:t>
            </w:r>
            <w:r w:rsidR="005B2CB4">
              <w:rPr>
                <w:noProof/>
                <w:webHidden/>
              </w:rPr>
              <w:tab/>
            </w:r>
            <w:r w:rsidR="005B2CB4">
              <w:rPr>
                <w:noProof/>
                <w:webHidden/>
              </w:rPr>
              <w:fldChar w:fldCharType="begin"/>
            </w:r>
            <w:r w:rsidR="005B2CB4">
              <w:rPr>
                <w:noProof/>
                <w:webHidden/>
              </w:rPr>
              <w:instrText xml:space="preserve"> PAGEREF _Toc100218653 \h </w:instrText>
            </w:r>
            <w:r w:rsidR="005B2CB4">
              <w:rPr>
                <w:noProof/>
                <w:webHidden/>
              </w:rPr>
            </w:r>
            <w:r w:rsidR="005B2CB4">
              <w:rPr>
                <w:noProof/>
                <w:webHidden/>
              </w:rPr>
              <w:fldChar w:fldCharType="separate"/>
            </w:r>
            <w:r w:rsidR="0091593D">
              <w:rPr>
                <w:noProof/>
                <w:webHidden/>
              </w:rPr>
              <w:t>11</w:t>
            </w:r>
            <w:r w:rsidR="005B2CB4">
              <w:rPr>
                <w:noProof/>
                <w:webHidden/>
              </w:rPr>
              <w:fldChar w:fldCharType="end"/>
            </w:r>
          </w:hyperlink>
        </w:p>
        <w:p w14:paraId="1A6D438B" w14:textId="210D97B5" w:rsidR="005B2CB4" w:rsidRDefault="001C15EF">
          <w:pPr>
            <w:pStyle w:val="TOC2"/>
            <w:rPr>
              <w:rFonts w:eastAsiaTheme="minorEastAsia"/>
              <w:noProof/>
              <w:lang w:eastAsia="en-GB"/>
            </w:rPr>
          </w:pPr>
          <w:hyperlink w:anchor="_Toc100218654" w:history="1">
            <w:r w:rsidR="005B2CB4" w:rsidRPr="005620EC">
              <w:rPr>
                <w:rStyle w:val="Hyperlink"/>
                <w:noProof/>
              </w:rPr>
              <w:t>2.6 If an organisation is sole processor and there are two or more joint controllers who does the processor take instructions from?</w:t>
            </w:r>
            <w:r w:rsidR="005B2CB4">
              <w:rPr>
                <w:noProof/>
                <w:webHidden/>
              </w:rPr>
              <w:tab/>
            </w:r>
            <w:r w:rsidR="005B2CB4">
              <w:rPr>
                <w:noProof/>
                <w:webHidden/>
              </w:rPr>
              <w:fldChar w:fldCharType="begin"/>
            </w:r>
            <w:r w:rsidR="005B2CB4">
              <w:rPr>
                <w:noProof/>
                <w:webHidden/>
              </w:rPr>
              <w:instrText xml:space="preserve"> PAGEREF _Toc100218654 \h </w:instrText>
            </w:r>
            <w:r w:rsidR="005B2CB4">
              <w:rPr>
                <w:noProof/>
                <w:webHidden/>
              </w:rPr>
            </w:r>
            <w:r w:rsidR="005B2CB4">
              <w:rPr>
                <w:noProof/>
                <w:webHidden/>
              </w:rPr>
              <w:fldChar w:fldCharType="separate"/>
            </w:r>
            <w:r w:rsidR="0091593D">
              <w:rPr>
                <w:noProof/>
                <w:webHidden/>
              </w:rPr>
              <w:t>11</w:t>
            </w:r>
            <w:r w:rsidR="005B2CB4">
              <w:rPr>
                <w:noProof/>
                <w:webHidden/>
              </w:rPr>
              <w:fldChar w:fldCharType="end"/>
            </w:r>
          </w:hyperlink>
        </w:p>
        <w:p w14:paraId="6CC4F380" w14:textId="077E99AD" w:rsidR="005B2CB4" w:rsidRDefault="001C15EF">
          <w:pPr>
            <w:pStyle w:val="TOC1"/>
            <w:rPr>
              <w:rFonts w:eastAsiaTheme="minorEastAsia"/>
              <w:noProof/>
              <w:lang w:eastAsia="en-GB"/>
            </w:rPr>
          </w:pPr>
          <w:hyperlink w:anchor="_Toc100218655" w:history="1">
            <w:r w:rsidR="005B2CB4" w:rsidRPr="005620EC">
              <w:rPr>
                <w:rStyle w:val="Hyperlink"/>
                <w:noProof/>
              </w:rPr>
              <w:t>3.</w:t>
            </w:r>
            <w:r w:rsidR="005B2CB4">
              <w:rPr>
                <w:rFonts w:eastAsiaTheme="minorEastAsia"/>
                <w:noProof/>
                <w:lang w:eastAsia="en-GB"/>
              </w:rPr>
              <w:tab/>
            </w:r>
            <w:r w:rsidR="005B2CB4" w:rsidRPr="005620EC">
              <w:rPr>
                <w:rStyle w:val="Hyperlink"/>
                <w:noProof/>
              </w:rPr>
              <w:t>What agreements or other documents are necessary when personal data is being processed?</w:t>
            </w:r>
            <w:r w:rsidR="005B2CB4">
              <w:rPr>
                <w:noProof/>
                <w:webHidden/>
              </w:rPr>
              <w:tab/>
            </w:r>
            <w:r w:rsidR="005B2CB4">
              <w:rPr>
                <w:noProof/>
                <w:webHidden/>
              </w:rPr>
              <w:fldChar w:fldCharType="begin"/>
            </w:r>
            <w:r w:rsidR="005B2CB4">
              <w:rPr>
                <w:noProof/>
                <w:webHidden/>
              </w:rPr>
              <w:instrText xml:space="preserve"> PAGEREF _Toc100218655 \h </w:instrText>
            </w:r>
            <w:r w:rsidR="005B2CB4">
              <w:rPr>
                <w:noProof/>
                <w:webHidden/>
              </w:rPr>
            </w:r>
            <w:r w:rsidR="005B2CB4">
              <w:rPr>
                <w:noProof/>
                <w:webHidden/>
              </w:rPr>
              <w:fldChar w:fldCharType="separate"/>
            </w:r>
            <w:r w:rsidR="0091593D">
              <w:rPr>
                <w:noProof/>
                <w:webHidden/>
              </w:rPr>
              <w:t>12</w:t>
            </w:r>
            <w:r w:rsidR="005B2CB4">
              <w:rPr>
                <w:noProof/>
                <w:webHidden/>
              </w:rPr>
              <w:fldChar w:fldCharType="end"/>
            </w:r>
          </w:hyperlink>
        </w:p>
        <w:p w14:paraId="5ABE64B1" w14:textId="36F9E345" w:rsidR="005B2CB4" w:rsidRDefault="001C15EF">
          <w:pPr>
            <w:pStyle w:val="TOC2"/>
            <w:rPr>
              <w:rFonts w:eastAsiaTheme="minorEastAsia"/>
              <w:noProof/>
              <w:lang w:eastAsia="en-GB"/>
            </w:rPr>
          </w:pPr>
          <w:hyperlink w:anchor="_Toc100218656" w:history="1">
            <w:r w:rsidR="005B2CB4" w:rsidRPr="005620EC">
              <w:rPr>
                <w:rStyle w:val="Hyperlink"/>
                <w:noProof/>
              </w:rPr>
              <w:t>3.1 Data Protection Impact Assessments (DPIAs)</w:t>
            </w:r>
            <w:r w:rsidR="005B2CB4">
              <w:rPr>
                <w:noProof/>
                <w:webHidden/>
              </w:rPr>
              <w:tab/>
            </w:r>
            <w:r w:rsidR="005B2CB4">
              <w:rPr>
                <w:noProof/>
                <w:webHidden/>
              </w:rPr>
              <w:fldChar w:fldCharType="begin"/>
            </w:r>
            <w:r w:rsidR="005B2CB4">
              <w:rPr>
                <w:noProof/>
                <w:webHidden/>
              </w:rPr>
              <w:instrText xml:space="preserve"> PAGEREF _Toc100218656 \h </w:instrText>
            </w:r>
            <w:r w:rsidR="005B2CB4">
              <w:rPr>
                <w:noProof/>
                <w:webHidden/>
              </w:rPr>
            </w:r>
            <w:r w:rsidR="005B2CB4">
              <w:rPr>
                <w:noProof/>
                <w:webHidden/>
              </w:rPr>
              <w:fldChar w:fldCharType="separate"/>
            </w:r>
            <w:r w:rsidR="0091593D">
              <w:rPr>
                <w:noProof/>
                <w:webHidden/>
              </w:rPr>
              <w:t>12</w:t>
            </w:r>
            <w:r w:rsidR="005B2CB4">
              <w:rPr>
                <w:noProof/>
                <w:webHidden/>
              </w:rPr>
              <w:fldChar w:fldCharType="end"/>
            </w:r>
          </w:hyperlink>
        </w:p>
        <w:p w14:paraId="5529C96B" w14:textId="663E8FB2" w:rsidR="005B2CB4" w:rsidRDefault="001C15EF">
          <w:pPr>
            <w:pStyle w:val="TOC2"/>
            <w:rPr>
              <w:rFonts w:eastAsiaTheme="minorEastAsia"/>
              <w:noProof/>
              <w:lang w:eastAsia="en-GB"/>
            </w:rPr>
          </w:pPr>
          <w:hyperlink w:anchor="_Toc100218657" w:history="1">
            <w:r w:rsidR="005B2CB4" w:rsidRPr="005620EC">
              <w:rPr>
                <w:rStyle w:val="Hyperlink"/>
                <w:noProof/>
              </w:rPr>
              <w:t>3.2 Data sharing agreements</w:t>
            </w:r>
            <w:r w:rsidR="005B2CB4">
              <w:rPr>
                <w:noProof/>
                <w:webHidden/>
              </w:rPr>
              <w:tab/>
            </w:r>
            <w:r w:rsidR="005B2CB4">
              <w:rPr>
                <w:noProof/>
                <w:webHidden/>
              </w:rPr>
              <w:fldChar w:fldCharType="begin"/>
            </w:r>
            <w:r w:rsidR="005B2CB4">
              <w:rPr>
                <w:noProof/>
                <w:webHidden/>
              </w:rPr>
              <w:instrText xml:space="preserve"> PAGEREF _Toc100218657 \h </w:instrText>
            </w:r>
            <w:r w:rsidR="005B2CB4">
              <w:rPr>
                <w:noProof/>
                <w:webHidden/>
              </w:rPr>
            </w:r>
            <w:r w:rsidR="005B2CB4">
              <w:rPr>
                <w:noProof/>
                <w:webHidden/>
              </w:rPr>
              <w:fldChar w:fldCharType="separate"/>
            </w:r>
            <w:r w:rsidR="0091593D">
              <w:rPr>
                <w:noProof/>
                <w:webHidden/>
              </w:rPr>
              <w:t>13</w:t>
            </w:r>
            <w:r w:rsidR="005B2CB4">
              <w:rPr>
                <w:noProof/>
                <w:webHidden/>
              </w:rPr>
              <w:fldChar w:fldCharType="end"/>
            </w:r>
          </w:hyperlink>
        </w:p>
        <w:p w14:paraId="3F20F606" w14:textId="7F6A0C03" w:rsidR="005B2CB4" w:rsidRDefault="001C15EF">
          <w:pPr>
            <w:pStyle w:val="TOC1"/>
            <w:rPr>
              <w:rFonts w:eastAsiaTheme="minorEastAsia"/>
              <w:noProof/>
              <w:lang w:eastAsia="en-GB"/>
            </w:rPr>
          </w:pPr>
          <w:hyperlink w:anchor="_Toc100218658" w:history="1">
            <w:r w:rsidR="005B2CB4" w:rsidRPr="005620EC">
              <w:rPr>
                <w:rStyle w:val="Hyperlink"/>
                <w:noProof/>
              </w:rPr>
              <w:t>4. Does GDPR apply to Audits and Service Evaluations?</w:t>
            </w:r>
            <w:r w:rsidR="005B2CB4">
              <w:rPr>
                <w:noProof/>
                <w:webHidden/>
              </w:rPr>
              <w:tab/>
            </w:r>
            <w:r w:rsidR="005B2CB4">
              <w:rPr>
                <w:noProof/>
                <w:webHidden/>
              </w:rPr>
              <w:fldChar w:fldCharType="begin"/>
            </w:r>
            <w:r w:rsidR="005B2CB4">
              <w:rPr>
                <w:noProof/>
                <w:webHidden/>
              </w:rPr>
              <w:instrText xml:space="preserve"> PAGEREF _Toc100218658 \h </w:instrText>
            </w:r>
            <w:r w:rsidR="005B2CB4">
              <w:rPr>
                <w:noProof/>
                <w:webHidden/>
              </w:rPr>
            </w:r>
            <w:r w:rsidR="005B2CB4">
              <w:rPr>
                <w:noProof/>
                <w:webHidden/>
              </w:rPr>
              <w:fldChar w:fldCharType="separate"/>
            </w:r>
            <w:r w:rsidR="0091593D">
              <w:rPr>
                <w:noProof/>
                <w:webHidden/>
              </w:rPr>
              <w:t>15</w:t>
            </w:r>
            <w:r w:rsidR="005B2CB4">
              <w:rPr>
                <w:noProof/>
                <w:webHidden/>
              </w:rPr>
              <w:fldChar w:fldCharType="end"/>
            </w:r>
          </w:hyperlink>
        </w:p>
        <w:p w14:paraId="6E8B0A16" w14:textId="37BBFB87" w:rsidR="005B2CB4" w:rsidRDefault="001C15EF">
          <w:pPr>
            <w:pStyle w:val="TOC1"/>
            <w:rPr>
              <w:rFonts w:eastAsiaTheme="minorEastAsia"/>
              <w:noProof/>
              <w:lang w:eastAsia="en-GB"/>
            </w:rPr>
          </w:pPr>
          <w:hyperlink w:anchor="_Toc100218659" w:history="1">
            <w:r w:rsidR="005B2CB4" w:rsidRPr="005620EC">
              <w:rPr>
                <w:rStyle w:val="Hyperlink"/>
                <w:noProof/>
              </w:rPr>
              <w:t>5. Useful links</w:t>
            </w:r>
            <w:r w:rsidR="005B2CB4">
              <w:rPr>
                <w:noProof/>
                <w:webHidden/>
              </w:rPr>
              <w:tab/>
            </w:r>
            <w:r w:rsidR="005B2CB4">
              <w:rPr>
                <w:noProof/>
                <w:webHidden/>
              </w:rPr>
              <w:fldChar w:fldCharType="begin"/>
            </w:r>
            <w:r w:rsidR="005B2CB4">
              <w:rPr>
                <w:noProof/>
                <w:webHidden/>
              </w:rPr>
              <w:instrText xml:space="preserve"> PAGEREF _Toc100218659 \h </w:instrText>
            </w:r>
            <w:r w:rsidR="005B2CB4">
              <w:rPr>
                <w:noProof/>
                <w:webHidden/>
              </w:rPr>
            </w:r>
            <w:r w:rsidR="005B2CB4">
              <w:rPr>
                <w:noProof/>
                <w:webHidden/>
              </w:rPr>
              <w:fldChar w:fldCharType="separate"/>
            </w:r>
            <w:r w:rsidR="0091593D">
              <w:rPr>
                <w:noProof/>
                <w:webHidden/>
              </w:rPr>
              <w:t>16</w:t>
            </w:r>
            <w:r w:rsidR="005B2CB4">
              <w:rPr>
                <w:noProof/>
                <w:webHidden/>
              </w:rPr>
              <w:fldChar w:fldCharType="end"/>
            </w:r>
          </w:hyperlink>
        </w:p>
        <w:p w14:paraId="0B014664" w14:textId="670ED9E3" w:rsidR="00BC7C4D" w:rsidRDefault="00BC7C4D">
          <w:r>
            <w:rPr>
              <w:b/>
              <w:bCs/>
              <w:noProof/>
            </w:rPr>
            <w:fldChar w:fldCharType="end"/>
          </w:r>
        </w:p>
      </w:sdtContent>
    </w:sdt>
    <w:p w14:paraId="4D511597" w14:textId="0B0EC813" w:rsidR="001923A6" w:rsidRDefault="001923A6" w:rsidP="001923A6">
      <w:pPr>
        <w:spacing w:line="360" w:lineRule="auto"/>
      </w:pPr>
    </w:p>
    <w:p w14:paraId="60C487AC" w14:textId="6E95ABD8" w:rsidR="00D178BC" w:rsidRPr="00D178BC" w:rsidRDefault="00D178BC" w:rsidP="00536041">
      <w:pPr>
        <w:tabs>
          <w:tab w:val="left" w:pos="8110"/>
        </w:tabs>
      </w:pPr>
      <w:r>
        <w:tab/>
      </w:r>
    </w:p>
    <w:p w14:paraId="724BDF11" w14:textId="5862632C" w:rsidR="005B2CB4" w:rsidRDefault="005B2CB4" w:rsidP="005B2CB4">
      <w:pPr>
        <w:pStyle w:val="Heading1"/>
        <w:ind w:left="720"/>
      </w:pPr>
      <w:bookmarkStart w:id="0" w:name="_Toc97108894"/>
      <w:bookmarkStart w:id="1" w:name="_Toc100218638"/>
      <w:bookmarkStart w:id="2" w:name="_Toc92809961"/>
      <w:r w:rsidRPr="00007A62">
        <w:lastRenderedPageBreak/>
        <w:t>Scope of document</w:t>
      </w:r>
      <w:bookmarkEnd w:id="0"/>
      <w:bookmarkEnd w:id="1"/>
    </w:p>
    <w:p w14:paraId="46664AEE" w14:textId="7722751F" w:rsidR="00A60B07" w:rsidRDefault="00A60B07" w:rsidP="001923A6">
      <w:pPr>
        <w:keepNext/>
        <w:keepLines/>
        <w:spacing w:before="240" w:after="0"/>
        <w:outlineLvl w:val="0"/>
      </w:pPr>
      <w:bookmarkStart w:id="3" w:name="_Toc100218639"/>
      <w:r>
        <w:t>This document aims to explain GDPR</w:t>
      </w:r>
      <w:r w:rsidR="00856156">
        <w:t xml:space="preserve"> (</w:t>
      </w:r>
      <w:r w:rsidR="00856156" w:rsidRPr="001923A6">
        <w:t>General Data Protection Regulation</w:t>
      </w:r>
      <w:r w:rsidR="00856156">
        <w:t>)</w:t>
      </w:r>
      <w:r>
        <w:t xml:space="preserve"> terminology and cover GDPR requirements as applied to </w:t>
      </w:r>
      <w:r w:rsidR="006B73F7">
        <w:t xml:space="preserve">personal </w:t>
      </w:r>
      <w:r>
        <w:t xml:space="preserve">data </w:t>
      </w:r>
      <w:r w:rsidR="006B73F7">
        <w:t xml:space="preserve">that may be collected and </w:t>
      </w:r>
      <w:r>
        <w:t>used in research</w:t>
      </w:r>
      <w:r w:rsidR="006B73F7">
        <w:t>.</w:t>
      </w:r>
      <w:r>
        <w:t xml:space="preserve"> It also covers the type of data sharing </w:t>
      </w:r>
      <w:r w:rsidR="006B73F7">
        <w:t>agreement</w:t>
      </w:r>
      <w:r w:rsidR="00856156">
        <w:t>s</w:t>
      </w:r>
      <w:r w:rsidR="006B73F7">
        <w:t xml:space="preserve"> (D</w:t>
      </w:r>
      <w:r w:rsidR="00E411B0">
        <w:t>S</w:t>
      </w:r>
      <w:r w:rsidR="006B73F7">
        <w:t>As) and Data Protection Impact Assessments (DPIAs) that may be required</w:t>
      </w:r>
      <w:r w:rsidR="00856156">
        <w:t>.</w:t>
      </w:r>
      <w:bookmarkEnd w:id="3"/>
    </w:p>
    <w:p w14:paraId="3B177C3A" w14:textId="0DC4D1BB" w:rsidR="005B2CB4" w:rsidRDefault="005B2CB4" w:rsidP="001923A6">
      <w:pPr>
        <w:keepNext/>
        <w:keepLines/>
        <w:spacing w:before="240" w:after="0"/>
        <w:outlineLvl w:val="0"/>
      </w:pPr>
    </w:p>
    <w:p w14:paraId="52AEAC1A" w14:textId="74CB530F" w:rsidR="005B2CB4" w:rsidRDefault="005B2CB4" w:rsidP="001923A6">
      <w:pPr>
        <w:keepNext/>
        <w:keepLines/>
        <w:spacing w:before="240" w:after="0"/>
        <w:outlineLvl w:val="0"/>
      </w:pPr>
    </w:p>
    <w:p w14:paraId="373E5977" w14:textId="440BFB37" w:rsidR="005B2CB4" w:rsidRDefault="005B2CB4" w:rsidP="001923A6">
      <w:pPr>
        <w:keepNext/>
        <w:keepLines/>
        <w:spacing w:before="240" w:after="0"/>
        <w:outlineLvl w:val="0"/>
      </w:pPr>
    </w:p>
    <w:p w14:paraId="1AB14D0B" w14:textId="23CBAE89" w:rsidR="005B2CB4" w:rsidRDefault="005B2CB4" w:rsidP="001923A6">
      <w:pPr>
        <w:keepNext/>
        <w:keepLines/>
        <w:spacing w:before="240" w:after="0"/>
        <w:outlineLvl w:val="0"/>
      </w:pPr>
    </w:p>
    <w:p w14:paraId="57F371C5" w14:textId="206ADB41" w:rsidR="005B2CB4" w:rsidRDefault="005B2CB4" w:rsidP="001923A6">
      <w:pPr>
        <w:keepNext/>
        <w:keepLines/>
        <w:spacing w:before="240" w:after="0"/>
        <w:outlineLvl w:val="0"/>
      </w:pPr>
    </w:p>
    <w:p w14:paraId="3E69FFB7" w14:textId="74C8A308" w:rsidR="005B2CB4" w:rsidRDefault="005B2CB4" w:rsidP="001923A6">
      <w:pPr>
        <w:keepNext/>
        <w:keepLines/>
        <w:spacing w:before="240" w:after="0"/>
        <w:outlineLvl w:val="0"/>
      </w:pPr>
    </w:p>
    <w:p w14:paraId="50236DB4" w14:textId="636DA1EB" w:rsidR="005B2CB4" w:rsidRDefault="005B2CB4" w:rsidP="001923A6">
      <w:pPr>
        <w:keepNext/>
        <w:keepLines/>
        <w:spacing w:before="240" w:after="0"/>
        <w:outlineLvl w:val="0"/>
      </w:pPr>
    </w:p>
    <w:p w14:paraId="7FE9A536" w14:textId="7FE040C5" w:rsidR="005B2CB4" w:rsidRDefault="005B2CB4" w:rsidP="001923A6">
      <w:pPr>
        <w:keepNext/>
        <w:keepLines/>
        <w:spacing w:before="240" w:after="0"/>
        <w:outlineLvl w:val="0"/>
      </w:pPr>
    </w:p>
    <w:p w14:paraId="5921D2F4" w14:textId="66748E06" w:rsidR="005B2CB4" w:rsidRDefault="005B2CB4" w:rsidP="001923A6">
      <w:pPr>
        <w:keepNext/>
        <w:keepLines/>
        <w:spacing w:before="240" w:after="0"/>
        <w:outlineLvl w:val="0"/>
      </w:pPr>
    </w:p>
    <w:p w14:paraId="2079744B" w14:textId="1A4D63B1" w:rsidR="005B2CB4" w:rsidRDefault="005B2CB4" w:rsidP="001923A6">
      <w:pPr>
        <w:keepNext/>
        <w:keepLines/>
        <w:spacing w:before="240" w:after="0"/>
        <w:outlineLvl w:val="0"/>
      </w:pPr>
    </w:p>
    <w:p w14:paraId="25F64CBA" w14:textId="404D8345" w:rsidR="005B2CB4" w:rsidRDefault="005B2CB4" w:rsidP="001923A6">
      <w:pPr>
        <w:keepNext/>
        <w:keepLines/>
        <w:spacing w:before="240" w:after="0"/>
        <w:outlineLvl w:val="0"/>
      </w:pPr>
    </w:p>
    <w:p w14:paraId="78B1BE89" w14:textId="1DCB19A9" w:rsidR="005B2CB4" w:rsidRDefault="005B2CB4" w:rsidP="001923A6">
      <w:pPr>
        <w:keepNext/>
        <w:keepLines/>
        <w:spacing w:before="240" w:after="0"/>
        <w:outlineLvl w:val="0"/>
      </w:pPr>
    </w:p>
    <w:p w14:paraId="13A41BE0" w14:textId="5AF4FEF4" w:rsidR="005B2CB4" w:rsidRDefault="005B2CB4" w:rsidP="001923A6">
      <w:pPr>
        <w:keepNext/>
        <w:keepLines/>
        <w:spacing w:before="240" w:after="0"/>
        <w:outlineLvl w:val="0"/>
      </w:pPr>
    </w:p>
    <w:p w14:paraId="03E5C8C3" w14:textId="418047B3" w:rsidR="005B2CB4" w:rsidRDefault="005B2CB4" w:rsidP="001923A6">
      <w:pPr>
        <w:keepNext/>
        <w:keepLines/>
        <w:spacing w:before="240" w:after="0"/>
        <w:outlineLvl w:val="0"/>
      </w:pPr>
    </w:p>
    <w:p w14:paraId="714B73AB" w14:textId="7D9A3765" w:rsidR="005B2CB4" w:rsidRDefault="005B2CB4" w:rsidP="001923A6">
      <w:pPr>
        <w:keepNext/>
        <w:keepLines/>
        <w:spacing w:before="240" w:after="0"/>
        <w:outlineLvl w:val="0"/>
      </w:pPr>
    </w:p>
    <w:p w14:paraId="204C13EE" w14:textId="74AAE1E2" w:rsidR="005B2CB4" w:rsidRDefault="005B2CB4" w:rsidP="001923A6">
      <w:pPr>
        <w:keepNext/>
        <w:keepLines/>
        <w:spacing w:before="240" w:after="0"/>
        <w:outlineLvl w:val="0"/>
      </w:pPr>
    </w:p>
    <w:p w14:paraId="5AA895FC" w14:textId="13ECF5BB" w:rsidR="005B2CB4" w:rsidRDefault="005B2CB4" w:rsidP="001923A6">
      <w:pPr>
        <w:keepNext/>
        <w:keepLines/>
        <w:spacing w:before="240" w:after="0"/>
        <w:outlineLvl w:val="0"/>
      </w:pPr>
    </w:p>
    <w:p w14:paraId="049BC02F" w14:textId="25590744" w:rsidR="005B2CB4" w:rsidRDefault="005B2CB4" w:rsidP="001923A6">
      <w:pPr>
        <w:keepNext/>
        <w:keepLines/>
        <w:spacing w:before="240" w:after="0"/>
        <w:outlineLvl w:val="0"/>
      </w:pPr>
    </w:p>
    <w:p w14:paraId="637884D5" w14:textId="6273E219" w:rsidR="005B2CB4" w:rsidRDefault="005B2CB4" w:rsidP="001923A6">
      <w:pPr>
        <w:keepNext/>
        <w:keepLines/>
        <w:spacing w:before="240" w:after="0"/>
        <w:outlineLvl w:val="0"/>
      </w:pPr>
    </w:p>
    <w:p w14:paraId="12B5B6E5" w14:textId="77777777" w:rsidR="005B2CB4" w:rsidRDefault="005B2CB4" w:rsidP="001923A6">
      <w:pPr>
        <w:keepNext/>
        <w:keepLines/>
        <w:spacing w:before="240" w:after="0"/>
        <w:outlineLvl w:val="0"/>
        <w:rPr>
          <w:rFonts w:asciiTheme="majorHAnsi" w:eastAsiaTheme="majorEastAsia" w:hAnsiTheme="majorHAnsi" w:cstheme="majorBidi"/>
          <w:color w:val="365F91" w:themeColor="accent1" w:themeShade="BF"/>
          <w:sz w:val="32"/>
          <w:szCs w:val="32"/>
        </w:rPr>
      </w:pPr>
    </w:p>
    <w:p w14:paraId="158157F8" w14:textId="61E64D0E" w:rsidR="00915E3A" w:rsidRDefault="00915E3A" w:rsidP="00A72055">
      <w:pPr>
        <w:pStyle w:val="Heading1"/>
        <w:numPr>
          <w:ilvl w:val="0"/>
          <w:numId w:val="5"/>
        </w:numPr>
      </w:pPr>
      <w:bookmarkStart w:id="4" w:name="_Toc100218640"/>
      <w:r w:rsidRPr="00915E3A">
        <w:lastRenderedPageBreak/>
        <w:t>What is personal data and when does GDPR apply</w:t>
      </w:r>
      <w:bookmarkEnd w:id="2"/>
      <w:bookmarkEnd w:id="4"/>
    </w:p>
    <w:p w14:paraId="7551A45A" w14:textId="1B64A9F3" w:rsidR="001923A6" w:rsidRPr="001923A6" w:rsidRDefault="001923A6" w:rsidP="001923A6"/>
    <w:p w14:paraId="581B1518" w14:textId="77FF5E51" w:rsidR="001923A6" w:rsidRPr="001923A6" w:rsidRDefault="00A72055" w:rsidP="00557211">
      <w:pPr>
        <w:pStyle w:val="Heading2"/>
      </w:pPr>
      <w:bookmarkStart w:id="5" w:name="_Toc92809962"/>
      <w:bookmarkStart w:id="6" w:name="_Toc100218641"/>
      <w:r>
        <w:t xml:space="preserve">1.1 </w:t>
      </w:r>
      <w:r w:rsidR="001923A6" w:rsidRPr="001923A6">
        <w:t xml:space="preserve">What is </w:t>
      </w:r>
      <w:r w:rsidR="00856156">
        <w:t xml:space="preserve">the </w:t>
      </w:r>
      <w:r w:rsidR="001923A6" w:rsidRPr="001923A6">
        <w:t>GDPR</w:t>
      </w:r>
      <w:r w:rsidR="00856156">
        <w:t xml:space="preserve"> and </w:t>
      </w:r>
      <w:r w:rsidR="00856156" w:rsidRPr="001923A6">
        <w:t>DPA 2018</w:t>
      </w:r>
      <w:bookmarkEnd w:id="5"/>
      <w:r w:rsidR="00856156">
        <w:t>?</w:t>
      </w:r>
      <w:bookmarkEnd w:id="6"/>
    </w:p>
    <w:p w14:paraId="10723557" w14:textId="54AEEB7B" w:rsidR="001923A6" w:rsidRDefault="001923A6" w:rsidP="001923A6">
      <w:pPr>
        <w:spacing w:line="360" w:lineRule="auto"/>
      </w:pPr>
      <w:r w:rsidRPr="001923A6">
        <w:t xml:space="preserve">The GDPR is the General Data Protection Regulation (EU) 2016/679. It sets out the key principles, rights and obligations for most processing of </w:t>
      </w:r>
      <w:r w:rsidRPr="00EE3C4F">
        <w:rPr>
          <w:b/>
        </w:rPr>
        <w:t>personal data</w:t>
      </w:r>
      <w:r w:rsidRPr="001923A6">
        <w:t xml:space="preserve"> </w:t>
      </w:r>
      <w:r w:rsidR="00610A48">
        <w:t xml:space="preserve">(see definition in section </w:t>
      </w:r>
      <w:r w:rsidR="005F1FE4" w:rsidRPr="005F1FE4">
        <w:t>1.2</w:t>
      </w:r>
      <w:r w:rsidR="00610A48">
        <w:t xml:space="preserve">) </w:t>
      </w:r>
      <w:r w:rsidRPr="001923A6">
        <w:t>but it does not apply to processing for law enforcement purposes, or to areas outside EU law such as national security or defence.</w:t>
      </w:r>
    </w:p>
    <w:p w14:paraId="5F0F8DF7" w14:textId="5E330A29" w:rsidR="00610A48" w:rsidRPr="001923A6" w:rsidRDefault="00610A48" w:rsidP="00610A48">
      <w:pPr>
        <w:spacing w:line="360" w:lineRule="auto"/>
      </w:pPr>
      <w:r w:rsidRPr="00871ABA">
        <w:t>The GDPR is a European Regulation and automatically applied in the UK until the end of the transition period</w:t>
      </w:r>
      <w:r w:rsidR="00E411B0" w:rsidRPr="00871ABA">
        <w:t xml:space="preserve"> (31</w:t>
      </w:r>
      <w:r w:rsidR="000204CA" w:rsidRPr="00871ABA">
        <w:t>st</w:t>
      </w:r>
      <w:r w:rsidR="00E411B0" w:rsidRPr="00871ABA">
        <w:t xml:space="preserve"> of December 2020)</w:t>
      </w:r>
      <w:r w:rsidRPr="00871ABA">
        <w:t>.</w:t>
      </w:r>
      <w:r w:rsidRPr="001923A6">
        <w:t xml:space="preserve"> After this date, it </w:t>
      </w:r>
      <w:r>
        <w:t xml:space="preserve">became </w:t>
      </w:r>
      <w:r w:rsidRPr="001923A6">
        <w:t xml:space="preserve">UK law under the European Union (Withdrawal) Act 2018, with some technical changes to make it work effectively in a UK </w:t>
      </w:r>
      <w:r w:rsidRPr="00EE3C4F">
        <w:t xml:space="preserve">context. </w:t>
      </w:r>
    </w:p>
    <w:p w14:paraId="6412EB4A" w14:textId="2748E894" w:rsidR="0004716A" w:rsidRPr="001923A6" w:rsidRDefault="00B132A7" w:rsidP="0004716A">
      <w:pPr>
        <w:spacing w:line="360" w:lineRule="auto"/>
      </w:pPr>
      <w:r w:rsidRPr="00B132A7">
        <w:t>The Data Protection Act 2018</w:t>
      </w:r>
      <w:r w:rsidR="009A4A00">
        <w:t xml:space="preserve"> (DPA)</w:t>
      </w:r>
      <w:r w:rsidRPr="00B132A7">
        <w:t xml:space="preserve"> is the UK’s implementation of the General Data Protection Regulation (GDPR).</w:t>
      </w:r>
      <w:r w:rsidR="00F80004">
        <w:t xml:space="preserve"> </w:t>
      </w:r>
      <w:r w:rsidR="0004716A" w:rsidRPr="001923A6">
        <w:t xml:space="preserve">It updates and replaces the Data Protection Act 1998, and came into effect on </w:t>
      </w:r>
      <w:hyperlink r:id="rId8" w:history="1">
        <w:r w:rsidR="0004716A" w:rsidRPr="001923A6">
          <w:rPr>
            <w:color w:val="0000FF" w:themeColor="hyperlink"/>
            <w:u w:val="single"/>
          </w:rPr>
          <w:t>25 May 2018</w:t>
        </w:r>
      </w:hyperlink>
      <w:r w:rsidR="0004716A" w:rsidRPr="001923A6">
        <w:t>.</w:t>
      </w:r>
      <w:r w:rsidRPr="00B132A7">
        <w:t xml:space="preserve"> </w:t>
      </w:r>
    </w:p>
    <w:p w14:paraId="08751157" w14:textId="19D02CB7" w:rsidR="001923A6" w:rsidRDefault="0004716A" w:rsidP="001923A6">
      <w:pPr>
        <w:spacing w:line="360" w:lineRule="auto"/>
      </w:pPr>
      <w:r>
        <w:t>The DPA</w:t>
      </w:r>
      <w:r w:rsidR="001923A6" w:rsidRPr="001923A6">
        <w:t xml:space="preserve"> sits alongside the GDPR, and tailors how the GDPR applies in the UK, for example, by providing exemptions. It also sets out separate data protection rules for law enforcement authorities, extends data protection to some other areas such as national security and defence, and sets out the Information Commissioner’s </w:t>
      </w:r>
      <w:r w:rsidR="00E07FA1">
        <w:t xml:space="preserve">Office (ICO) </w:t>
      </w:r>
      <w:r w:rsidR="001923A6" w:rsidRPr="001923A6">
        <w:t>functions and powers.</w:t>
      </w:r>
    </w:p>
    <w:p w14:paraId="625020FA" w14:textId="77777777" w:rsidR="005B2CB4" w:rsidRPr="001923A6" w:rsidRDefault="005B2CB4" w:rsidP="001923A6">
      <w:pPr>
        <w:spacing w:line="360" w:lineRule="auto"/>
      </w:pPr>
    </w:p>
    <w:p w14:paraId="08A0DA44" w14:textId="4D081A9D" w:rsidR="001923A6" w:rsidRPr="001923A6" w:rsidRDefault="00A72055" w:rsidP="00557211">
      <w:pPr>
        <w:pStyle w:val="Heading2"/>
      </w:pPr>
      <w:bookmarkStart w:id="7" w:name="_Toc92809963"/>
      <w:bookmarkStart w:id="8" w:name="_Toc100218642"/>
      <w:r>
        <w:t xml:space="preserve">1.2 </w:t>
      </w:r>
      <w:r w:rsidR="001923A6" w:rsidRPr="001923A6">
        <w:t>What is personal data?</w:t>
      </w:r>
      <w:bookmarkEnd w:id="7"/>
      <w:bookmarkEnd w:id="8"/>
      <w:r w:rsidR="001923A6" w:rsidRPr="001923A6">
        <w:t xml:space="preserve"> </w:t>
      </w:r>
    </w:p>
    <w:p w14:paraId="2A25D0E0" w14:textId="0CD6B832" w:rsidR="00610A48" w:rsidRDefault="00610A48" w:rsidP="001923A6">
      <w:pPr>
        <w:spacing w:line="360" w:lineRule="auto"/>
      </w:pPr>
      <w:r>
        <w:t xml:space="preserve">Under the </w:t>
      </w:r>
      <w:hyperlink r:id="rId9" w:anchor="4" w:history="1">
        <w:r w:rsidRPr="00610A48">
          <w:rPr>
            <w:rStyle w:val="Hyperlink"/>
          </w:rPr>
          <w:t>DPA</w:t>
        </w:r>
      </w:hyperlink>
      <w:r>
        <w:t xml:space="preserve">, personal data means “information about a particular living individual”, where that individual can be identified from the information, </w:t>
      </w:r>
      <w:r w:rsidR="0005481B">
        <w:t xml:space="preserve">or by combining the details with other information. It doesn’t apply to truly anonymised data. </w:t>
      </w:r>
    </w:p>
    <w:p w14:paraId="10E080FC" w14:textId="389DB991" w:rsidR="00610A48" w:rsidRDefault="0005481B" w:rsidP="005B2CB4">
      <w:pPr>
        <w:spacing w:line="240" w:lineRule="auto"/>
      </w:pPr>
      <w:r>
        <w:t>Personal data is defined under the DPA as:</w:t>
      </w:r>
    </w:p>
    <w:p w14:paraId="5231C567" w14:textId="15E4D043" w:rsidR="001923A6" w:rsidRPr="001923A6" w:rsidRDefault="0005481B" w:rsidP="005B2CB4">
      <w:pPr>
        <w:spacing w:line="240" w:lineRule="auto"/>
        <w:rPr>
          <w:i/>
        </w:rPr>
      </w:pPr>
      <w:r>
        <w:rPr>
          <w:i/>
        </w:rPr>
        <w:t xml:space="preserve"> </w:t>
      </w:r>
      <w:r w:rsidR="00610A48">
        <w:rPr>
          <w:i/>
        </w:rPr>
        <w:t>“</w:t>
      </w:r>
      <w:proofErr w:type="gramStart"/>
      <w:r w:rsidR="001923A6" w:rsidRPr="001923A6">
        <w:rPr>
          <w:i/>
        </w:rPr>
        <w:t>data</w:t>
      </w:r>
      <w:proofErr w:type="gramEnd"/>
      <w:r w:rsidR="001923A6" w:rsidRPr="001923A6">
        <w:rPr>
          <w:i/>
        </w:rPr>
        <w:t xml:space="preserve"> which relate to a living individual who can be identified:</w:t>
      </w:r>
    </w:p>
    <w:p w14:paraId="5A6ECFFE" w14:textId="77777777" w:rsidR="001923A6" w:rsidRPr="001923A6" w:rsidRDefault="001923A6" w:rsidP="005B2CB4">
      <w:pPr>
        <w:numPr>
          <w:ilvl w:val="0"/>
          <w:numId w:val="1"/>
        </w:numPr>
        <w:contextualSpacing/>
        <w:rPr>
          <w:i/>
        </w:rPr>
      </w:pPr>
      <w:r w:rsidRPr="001923A6">
        <w:rPr>
          <w:i/>
        </w:rPr>
        <w:t xml:space="preserve">from those data, </w:t>
      </w:r>
    </w:p>
    <w:p w14:paraId="682E195D" w14:textId="77777777" w:rsidR="001923A6" w:rsidRPr="001923A6" w:rsidRDefault="001923A6" w:rsidP="005B2CB4">
      <w:pPr>
        <w:ind w:left="720"/>
        <w:contextualSpacing/>
        <w:rPr>
          <w:i/>
        </w:rPr>
      </w:pPr>
      <w:r w:rsidRPr="001923A6">
        <w:rPr>
          <w:i/>
        </w:rPr>
        <w:t xml:space="preserve">or </w:t>
      </w:r>
    </w:p>
    <w:p w14:paraId="6D6A231C" w14:textId="21D83303" w:rsidR="001923A6" w:rsidRPr="001923A6" w:rsidRDefault="001923A6" w:rsidP="005B2CB4">
      <w:pPr>
        <w:numPr>
          <w:ilvl w:val="0"/>
          <w:numId w:val="1"/>
        </w:numPr>
        <w:contextualSpacing/>
        <w:rPr>
          <w:i/>
        </w:rPr>
      </w:pPr>
      <w:r w:rsidRPr="001923A6">
        <w:rPr>
          <w:i/>
        </w:rPr>
        <w:t>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r w:rsidR="00610A48">
        <w:rPr>
          <w:i/>
        </w:rPr>
        <w:t>”</w:t>
      </w:r>
      <w:r w:rsidRPr="001923A6">
        <w:rPr>
          <w:i/>
        </w:rPr>
        <w:t xml:space="preserve"> </w:t>
      </w:r>
    </w:p>
    <w:p w14:paraId="1BD1CB08" w14:textId="77777777" w:rsidR="001923A6" w:rsidRPr="001923A6" w:rsidRDefault="001923A6" w:rsidP="001923A6">
      <w:pPr>
        <w:spacing w:line="360" w:lineRule="auto"/>
        <w:ind w:left="720"/>
        <w:contextualSpacing/>
        <w:rPr>
          <w:i/>
        </w:rPr>
      </w:pPr>
    </w:p>
    <w:p w14:paraId="5A66AE13" w14:textId="5873969C" w:rsidR="001923A6" w:rsidRDefault="001923A6" w:rsidP="001923A6">
      <w:pPr>
        <w:spacing w:line="360" w:lineRule="auto"/>
      </w:pPr>
      <w:r w:rsidRPr="001923A6">
        <w:lastRenderedPageBreak/>
        <w:t xml:space="preserve">Personal data </w:t>
      </w:r>
      <w:r w:rsidR="009A4A00" w:rsidRPr="001923A6">
        <w:t>must</w:t>
      </w:r>
      <w:r w:rsidRPr="001923A6">
        <w:t xml:space="preserve"> be about a living person, meaning that the DPA does not apply to mortality or other records about the deceased, although such data could still be protected by confidentiality or other legal rules. </w:t>
      </w:r>
    </w:p>
    <w:p w14:paraId="065467FD" w14:textId="77777777" w:rsidR="005B2CB4" w:rsidRPr="001923A6" w:rsidRDefault="005B2CB4" w:rsidP="001923A6">
      <w:pPr>
        <w:spacing w:line="360" w:lineRule="auto"/>
      </w:pPr>
    </w:p>
    <w:p w14:paraId="0C8844EF" w14:textId="126290FC" w:rsidR="0067600B" w:rsidRDefault="0067600B" w:rsidP="00D36A77">
      <w:pPr>
        <w:pStyle w:val="Heading2"/>
        <w:numPr>
          <w:ilvl w:val="1"/>
          <w:numId w:val="5"/>
        </w:numPr>
      </w:pPr>
      <w:bookmarkStart w:id="9" w:name="_Toc100218643"/>
      <w:r w:rsidRPr="0067600B">
        <w:t>The UK GDPR key principles</w:t>
      </w:r>
      <w:bookmarkEnd w:id="9"/>
    </w:p>
    <w:p w14:paraId="5AB8ED77" w14:textId="2B3ADEF6" w:rsidR="0067600B" w:rsidRPr="001923A6" w:rsidRDefault="0067600B" w:rsidP="0067600B">
      <w:pPr>
        <w:spacing w:line="360" w:lineRule="auto"/>
      </w:pPr>
      <w:r>
        <w:t>T</w:t>
      </w:r>
      <w:r w:rsidRPr="001923A6">
        <w:t xml:space="preserve">he </w:t>
      </w:r>
      <w:hyperlink r:id="rId10" w:history="1">
        <w:r w:rsidRPr="005837F8">
          <w:rPr>
            <w:rStyle w:val="Hyperlink"/>
          </w:rPr>
          <w:t>GDPR Article 5</w:t>
        </w:r>
      </w:hyperlink>
      <w:r>
        <w:t xml:space="preserve"> lists principles of processing personal data, and</w:t>
      </w:r>
      <w:r w:rsidRPr="001923A6">
        <w:t>, we are required to ensure that personal data is:</w:t>
      </w:r>
    </w:p>
    <w:tbl>
      <w:tblPr>
        <w:tblStyle w:val="TableGrid"/>
        <w:tblW w:w="0" w:type="auto"/>
        <w:jc w:val="center"/>
        <w:tblLook w:val="04A0" w:firstRow="1" w:lastRow="0" w:firstColumn="1" w:lastColumn="0" w:noHBand="0" w:noVBand="1"/>
      </w:tblPr>
      <w:tblGrid>
        <w:gridCol w:w="1584"/>
        <w:gridCol w:w="4838"/>
      </w:tblGrid>
      <w:tr w:rsidR="0067600B" w:rsidRPr="001923A6" w14:paraId="527207C5" w14:textId="77777777" w:rsidTr="008445C6">
        <w:trPr>
          <w:trHeight w:val="291"/>
          <w:jc w:val="center"/>
        </w:trPr>
        <w:tc>
          <w:tcPr>
            <w:tcW w:w="1584" w:type="dxa"/>
          </w:tcPr>
          <w:p w14:paraId="037AC78D" w14:textId="77777777" w:rsidR="0067600B" w:rsidRPr="001923A6" w:rsidRDefault="0067600B" w:rsidP="008445C6">
            <w:pPr>
              <w:spacing w:line="360" w:lineRule="auto"/>
              <w:rPr>
                <w:b/>
              </w:rPr>
            </w:pPr>
            <w:r w:rsidRPr="001923A6">
              <w:rPr>
                <w:b/>
              </w:rPr>
              <w:t>Principle 1</w:t>
            </w:r>
            <w:r>
              <w:rPr>
                <w:b/>
              </w:rPr>
              <w:t xml:space="preserve"> </w:t>
            </w:r>
            <w:r w:rsidRPr="001923A6">
              <w:rPr>
                <w:b/>
              </w:rPr>
              <w:t xml:space="preserve"> </w:t>
            </w:r>
          </w:p>
        </w:tc>
        <w:tc>
          <w:tcPr>
            <w:tcW w:w="4838" w:type="dxa"/>
          </w:tcPr>
          <w:p w14:paraId="18460D1E" w14:textId="77777777" w:rsidR="0067600B" w:rsidRPr="001923A6" w:rsidRDefault="0067600B" w:rsidP="008445C6">
            <w:pPr>
              <w:spacing w:line="360" w:lineRule="auto"/>
            </w:pPr>
            <w:r w:rsidRPr="001923A6">
              <w:t>used fairly, lawfully and transparently</w:t>
            </w:r>
          </w:p>
        </w:tc>
      </w:tr>
      <w:tr w:rsidR="0067600B" w:rsidRPr="001923A6" w14:paraId="54649153" w14:textId="77777777" w:rsidTr="008445C6">
        <w:trPr>
          <w:trHeight w:val="583"/>
          <w:jc w:val="center"/>
        </w:trPr>
        <w:tc>
          <w:tcPr>
            <w:tcW w:w="1584" w:type="dxa"/>
          </w:tcPr>
          <w:p w14:paraId="7BA10287" w14:textId="77777777" w:rsidR="0067600B" w:rsidRPr="001923A6" w:rsidRDefault="0067600B" w:rsidP="008445C6">
            <w:pPr>
              <w:spacing w:line="360" w:lineRule="auto"/>
              <w:rPr>
                <w:b/>
              </w:rPr>
            </w:pPr>
            <w:r w:rsidRPr="001923A6">
              <w:rPr>
                <w:b/>
              </w:rPr>
              <w:t xml:space="preserve">Principle 2 </w:t>
            </w:r>
            <w:r>
              <w:rPr>
                <w:b/>
              </w:rPr>
              <w:t xml:space="preserve"> </w:t>
            </w:r>
          </w:p>
        </w:tc>
        <w:tc>
          <w:tcPr>
            <w:tcW w:w="4838" w:type="dxa"/>
          </w:tcPr>
          <w:p w14:paraId="6AEAFFCF" w14:textId="77777777" w:rsidR="0067600B" w:rsidRPr="001923A6" w:rsidRDefault="0067600B" w:rsidP="008445C6">
            <w:pPr>
              <w:spacing w:line="360" w:lineRule="auto"/>
            </w:pPr>
            <w:r w:rsidRPr="001923A6">
              <w:t>collected for specified, explicit and legitimate purposes</w:t>
            </w:r>
          </w:p>
        </w:tc>
      </w:tr>
      <w:tr w:rsidR="0067600B" w:rsidRPr="001923A6" w14:paraId="370FE90D" w14:textId="77777777" w:rsidTr="008445C6">
        <w:trPr>
          <w:trHeight w:val="572"/>
          <w:jc w:val="center"/>
        </w:trPr>
        <w:tc>
          <w:tcPr>
            <w:tcW w:w="1584" w:type="dxa"/>
          </w:tcPr>
          <w:p w14:paraId="3127F100" w14:textId="77777777" w:rsidR="0067600B" w:rsidRPr="001923A6" w:rsidRDefault="0067600B" w:rsidP="008445C6">
            <w:pPr>
              <w:spacing w:line="360" w:lineRule="auto"/>
              <w:rPr>
                <w:b/>
              </w:rPr>
            </w:pPr>
            <w:r w:rsidRPr="001923A6">
              <w:rPr>
                <w:b/>
              </w:rPr>
              <w:t xml:space="preserve">Principle 3 </w:t>
            </w:r>
          </w:p>
        </w:tc>
        <w:tc>
          <w:tcPr>
            <w:tcW w:w="4838" w:type="dxa"/>
          </w:tcPr>
          <w:p w14:paraId="64554A4A" w14:textId="77777777" w:rsidR="0067600B" w:rsidRPr="001923A6" w:rsidRDefault="0067600B" w:rsidP="008445C6">
            <w:pPr>
              <w:spacing w:line="360" w:lineRule="auto"/>
            </w:pPr>
            <w:r w:rsidRPr="001923A6">
              <w:t>adequate, relevant and limited to what is necessary for the purposes</w:t>
            </w:r>
          </w:p>
        </w:tc>
      </w:tr>
      <w:tr w:rsidR="0067600B" w:rsidRPr="001923A6" w14:paraId="776D3DB6" w14:textId="77777777" w:rsidTr="008445C6">
        <w:trPr>
          <w:trHeight w:val="291"/>
          <w:jc w:val="center"/>
        </w:trPr>
        <w:tc>
          <w:tcPr>
            <w:tcW w:w="1584" w:type="dxa"/>
          </w:tcPr>
          <w:p w14:paraId="786C6E56" w14:textId="77777777" w:rsidR="0067600B" w:rsidRPr="001923A6" w:rsidRDefault="0067600B" w:rsidP="008445C6">
            <w:pPr>
              <w:spacing w:line="360" w:lineRule="auto"/>
              <w:rPr>
                <w:b/>
              </w:rPr>
            </w:pPr>
            <w:r w:rsidRPr="001923A6">
              <w:rPr>
                <w:b/>
              </w:rPr>
              <w:t xml:space="preserve">Principle 4 </w:t>
            </w:r>
            <w:r>
              <w:rPr>
                <w:b/>
              </w:rPr>
              <w:t xml:space="preserve"> </w:t>
            </w:r>
          </w:p>
        </w:tc>
        <w:tc>
          <w:tcPr>
            <w:tcW w:w="4838" w:type="dxa"/>
          </w:tcPr>
          <w:p w14:paraId="72D1D88B" w14:textId="77777777" w:rsidR="0067600B" w:rsidRPr="001923A6" w:rsidRDefault="0067600B" w:rsidP="008445C6">
            <w:pPr>
              <w:spacing w:line="360" w:lineRule="auto"/>
            </w:pPr>
            <w:r w:rsidRPr="001923A6">
              <w:t>accurate and, where necessary, kept up to date</w:t>
            </w:r>
          </w:p>
        </w:tc>
      </w:tr>
      <w:tr w:rsidR="0067600B" w:rsidRPr="001923A6" w14:paraId="16366A22" w14:textId="77777777" w:rsidTr="008445C6">
        <w:trPr>
          <w:trHeight w:val="1166"/>
          <w:jc w:val="center"/>
        </w:trPr>
        <w:tc>
          <w:tcPr>
            <w:tcW w:w="1584" w:type="dxa"/>
          </w:tcPr>
          <w:p w14:paraId="34E55AA4" w14:textId="77777777" w:rsidR="0067600B" w:rsidRPr="001923A6" w:rsidRDefault="0067600B" w:rsidP="008445C6">
            <w:pPr>
              <w:spacing w:line="360" w:lineRule="auto"/>
              <w:rPr>
                <w:b/>
              </w:rPr>
            </w:pPr>
            <w:r w:rsidRPr="001923A6">
              <w:rPr>
                <w:b/>
              </w:rPr>
              <w:t xml:space="preserve">Principle 5 </w:t>
            </w:r>
            <w:r>
              <w:rPr>
                <w:b/>
              </w:rPr>
              <w:t xml:space="preserve"> </w:t>
            </w:r>
          </w:p>
        </w:tc>
        <w:tc>
          <w:tcPr>
            <w:tcW w:w="4838" w:type="dxa"/>
          </w:tcPr>
          <w:p w14:paraId="5DD3123A" w14:textId="77777777" w:rsidR="0067600B" w:rsidRPr="001923A6" w:rsidRDefault="0067600B" w:rsidP="008445C6">
            <w:pPr>
              <w:spacing w:line="360" w:lineRule="auto"/>
            </w:pPr>
            <w:r w:rsidRPr="001923A6">
              <w:t>kept in a form which permits identification of data subjects for no longer than is necessary for the</w:t>
            </w:r>
          </w:p>
          <w:p w14:paraId="056F344F" w14:textId="77777777" w:rsidR="0067600B" w:rsidRPr="001923A6" w:rsidRDefault="0067600B" w:rsidP="008445C6">
            <w:pPr>
              <w:spacing w:line="360" w:lineRule="auto"/>
            </w:pPr>
            <w:r w:rsidRPr="001923A6">
              <w:t>purposes</w:t>
            </w:r>
          </w:p>
        </w:tc>
      </w:tr>
      <w:tr w:rsidR="0067600B" w:rsidRPr="001923A6" w14:paraId="044E9F89" w14:textId="77777777" w:rsidTr="008445C6">
        <w:trPr>
          <w:trHeight w:val="572"/>
          <w:jc w:val="center"/>
        </w:trPr>
        <w:tc>
          <w:tcPr>
            <w:tcW w:w="1584" w:type="dxa"/>
          </w:tcPr>
          <w:p w14:paraId="40924D01" w14:textId="77777777" w:rsidR="0067600B" w:rsidRPr="001923A6" w:rsidRDefault="0067600B" w:rsidP="008445C6">
            <w:pPr>
              <w:spacing w:line="360" w:lineRule="auto"/>
              <w:rPr>
                <w:b/>
              </w:rPr>
            </w:pPr>
            <w:r w:rsidRPr="001923A6">
              <w:rPr>
                <w:b/>
              </w:rPr>
              <w:t xml:space="preserve">Principle 6 </w:t>
            </w:r>
            <w:r>
              <w:rPr>
                <w:b/>
              </w:rPr>
              <w:t xml:space="preserve"> </w:t>
            </w:r>
          </w:p>
        </w:tc>
        <w:tc>
          <w:tcPr>
            <w:tcW w:w="4838" w:type="dxa"/>
          </w:tcPr>
          <w:p w14:paraId="47A0F11C" w14:textId="77777777" w:rsidR="0067600B" w:rsidRPr="001923A6" w:rsidRDefault="0067600B" w:rsidP="008445C6">
            <w:pPr>
              <w:spacing w:line="360" w:lineRule="auto"/>
            </w:pPr>
            <w:r w:rsidRPr="001923A6">
              <w:t>kept secure with appropriate technical and organisational measures</w:t>
            </w:r>
          </w:p>
        </w:tc>
      </w:tr>
      <w:tr w:rsidR="0067600B" w:rsidRPr="001923A6" w14:paraId="33A8D24D" w14:textId="77777777" w:rsidTr="008445C6">
        <w:trPr>
          <w:trHeight w:val="572"/>
          <w:jc w:val="center"/>
        </w:trPr>
        <w:tc>
          <w:tcPr>
            <w:tcW w:w="1584" w:type="dxa"/>
          </w:tcPr>
          <w:p w14:paraId="574AEE82" w14:textId="77777777" w:rsidR="0067600B" w:rsidRPr="001923A6" w:rsidRDefault="0067600B" w:rsidP="008445C6">
            <w:pPr>
              <w:spacing w:line="360" w:lineRule="auto"/>
              <w:rPr>
                <w:b/>
              </w:rPr>
            </w:pPr>
            <w:r w:rsidRPr="001923A6">
              <w:rPr>
                <w:b/>
              </w:rPr>
              <w:t>Principle 7</w:t>
            </w:r>
          </w:p>
        </w:tc>
        <w:tc>
          <w:tcPr>
            <w:tcW w:w="4838" w:type="dxa"/>
          </w:tcPr>
          <w:p w14:paraId="70ACE3B7" w14:textId="0AD3CC87" w:rsidR="0067600B" w:rsidRPr="001923A6" w:rsidRDefault="007B77FC" w:rsidP="008445C6">
            <w:pPr>
              <w:spacing w:line="360" w:lineRule="auto"/>
            </w:pPr>
            <w:r>
              <w:t xml:space="preserve">handled responsibly </w:t>
            </w:r>
          </w:p>
        </w:tc>
      </w:tr>
    </w:tbl>
    <w:p w14:paraId="4CAA997A" w14:textId="77777777" w:rsidR="005B2CB4" w:rsidRDefault="005B2CB4" w:rsidP="0067600B">
      <w:pPr>
        <w:spacing w:line="360" w:lineRule="auto"/>
      </w:pPr>
    </w:p>
    <w:p w14:paraId="0077973A" w14:textId="77777777" w:rsidR="00B0748C" w:rsidRDefault="00B0748C" w:rsidP="0067600B">
      <w:pPr>
        <w:spacing w:line="360" w:lineRule="auto"/>
      </w:pPr>
    </w:p>
    <w:p w14:paraId="08C959E2" w14:textId="1E4F5326" w:rsidR="001923A6" w:rsidRPr="001923A6" w:rsidRDefault="00A72055" w:rsidP="005B2CB4">
      <w:pPr>
        <w:pStyle w:val="Heading2"/>
      </w:pPr>
      <w:bookmarkStart w:id="10" w:name="_Toc92809964"/>
      <w:bookmarkStart w:id="11" w:name="_Toc100218644"/>
      <w:r>
        <w:t>1.</w:t>
      </w:r>
      <w:r w:rsidR="0067600B">
        <w:t>4</w:t>
      </w:r>
      <w:r>
        <w:t xml:space="preserve"> </w:t>
      </w:r>
      <w:r w:rsidR="001923A6" w:rsidRPr="000C5E35">
        <w:t>What is the difference between anonymised and pseudo anonymised data?</w:t>
      </w:r>
      <w:bookmarkEnd w:id="10"/>
      <w:bookmarkEnd w:id="11"/>
      <w:r w:rsidR="001923A6" w:rsidRPr="000C5E35">
        <w:t xml:space="preserve"> </w:t>
      </w:r>
    </w:p>
    <w:p w14:paraId="2F89E0BC" w14:textId="77777777" w:rsidR="001923A6" w:rsidRPr="001923A6" w:rsidRDefault="001923A6" w:rsidP="001923A6">
      <w:pPr>
        <w:spacing w:line="360" w:lineRule="auto"/>
        <w:rPr>
          <w:b/>
        </w:rPr>
      </w:pPr>
      <w:r w:rsidRPr="001923A6">
        <w:rPr>
          <w:b/>
        </w:rPr>
        <w:t>Anonymisation</w:t>
      </w:r>
    </w:p>
    <w:p w14:paraId="4B4D979B" w14:textId="25BE3140" w:rsidR="001923A6" w:rsidRPr="001923A6" w:rsidRDefault="005F1FE4" w:rsidP="001923A6">
      <w:pPr>
        <w:spacing w:line="360" w:lineRule="auto"/>
      </w:pPr>
      <w:r>
        <w:t>According to the ICO, a</w:t>
      </w:r>
      <w:r w:rsidR="001923A6" w:rsidRPr="001923A6">
        <w:t>nonymisation is the process of removing personal identifiers, both direct and indirect, that may lead to an individual being identified.</w:t>
      </w:r>
      <w:r w:rsidR="0004716A">
        <w:t xml:space="preserve"> </w:t>
      </w:r>
      <w:r w:rsidR="001923A6" w:rsidRPr="001923A6">
        <w:t xml:space="preserve">An individual may be directly identified from their name, address, postcode, telephone number, photograph, or if the person has a particular diagnosis or condition.  </w:t>
      </w:r>
    </w:p>
    <w:p w14:paraId="7ABDECAC" w14:textId="69E54011" w:rsidR="001923A6" w:rsidRPr="001923A6" w:rsidRDefault="0005481B" w:rsidP="001923A6">
      <w:pPr>
        <w:spacing w:line="360" w:lineRule="auto"/>
      </w:pPr>
      <w:r>
        <w:t>If a</w:t>
      </w:r>
      <w:r w:rsidR="001923A6" w:rsidRPr="001923A6">
        <w:t xml:space="preserve">n individual </w:t>
      </w:r>
      <w:r>
        <w:t xml:space="preserve">can be indirectly identified </w:t>
      </w:r>
      <w:r w:rsidR="001923A6" w:rsidRPr="001923A6">
        <w:t>when certain information is linked together with other information, such as their place of work, job title, salary, their postcode (including the first part of the postcode)</w:t>
      </w:r>
      <w:r>
        <w:t>, then this data is not truly anonymised</w:t>
      </w:r>
      <w:r w:rsidR="001923A6" w:rsidRPr="001923A6">
        <w:t xml:space="preserve">. </w:t>
      </w:r>
    </w:p>
    <w:p w14:paraId="632D7ABE" w14:textId="7A5A1C6C" w:rsidR="001923A6" w:rsidRPr="001923A6" w:rsidRDefault="001923A6" w:rsidP="001923A6">
      <w:pPr>
        <w:spacing w:line="360" w:lineRule="auto"/>
      </w:pPr>
      <w:r w:rsidRPr="001923A6">
        <w:lastRenderedPageBreak/>
        <w:t xml:space="preserve">Once data is truly anonymised and individuals are no longer identifiable, the data will not come under the scope of GDPR. For further information </w:t>
      </w:r>
      <w:r w:rsidR="00486BDD" w:rsidRPr="001923A6">
        <w:t>in regard to</w:t>
      </w:r>
      <w:r w:rsidRPr="001923A6">
        <w:t xml:space="preserve"> whether anonymi</w:t>
      </w:r>
      <w:r w:rsidR="00FA54A4">
        <w:t>s</w:t>
      </w:r>
      <w:r w:rsidRPr="001923A6">
        <w:t xml:space="preserve">ation is always necessary or possible, please refer to the ICO </w:t>
      </w:r>
      <w:hyperlink r:id="rId11" w:history="1">
        <w:r w:rsidRPr="001923A6">
          <w:rPr>
            <w:color w:val="0000FF" w:themeColor="hyperlink"/>
            <w:u w:val="single"/>
          </w:rPr>
          <w:t>website</w:t>
        </w:r>
      </w:hyperlink>
      <w:r w:rsidRPr="001923A6">
        <w:t xml:space="preserve">. The </w:t>
      </w:r>
      <w:hyperlink r:id="rId12" w:anchor="anonymisation" w:history="1">
        <w:r w:rsidRPr="001923A6">
          <w:rPr>
            <w:color w:val="0000FF" w:themeColor="hyperlink"/>
            <w:u w:val="single"/>
          </w:rPr>
          <w:t>UK Data Service</w:t>
        </w:r>
      </w:hyperlink>
      <w:r w:rsidRPr="001923A6">
        <w:t xml:space="preserve"> can offer advice regarding anonymisation of datasets for archiving and sharing.</w:t>
      </w:r>
    </w:p>
    <w:p w14:paraId="62CAB964" w14:textId="77777777" w:rsidR="001923A6" w:rsidRPr="001923A6" w:rsidRDefault="001923A6" w:rsidP="001923A6">
      <w:pPr>
        <w:spacing w:line="360" w:lineRule="auto"/>
        <w:rPr>
          <w:rFonts w:cstheme="minorHAnsi"/>
          <w:b/>
        </w:rPr>
      </w:pPr>
      <w:r w:rsidRPr="001923A6">
        <w:rPr>
          <w:rFonts w:cstheme="minorHAnsi"/>
          <w:b/>
        </w:rPr>
        <w:t>Pseudonymisation</w:t>
      </w:r>
    </w:p>
    <w:p w14:paraId="16372086" w14:textId="77777777" w:rsidR="001923A6" w:rsidRPr="001923A6" w:rsidRDefault="001923A6" w:rsidP="001923A6">
      <w:pPr>
        <w:spacing w:line="360" w:lineRule="auto"/>
        <w:rPr>
          <w:rFonts w:cstheme="minorHAnsi"/>
          <w:color w:val="000000"/>
          <w:shd w:val="clear" w:color="auto" w:fill="FFFFFF"/>
        </w:rPr>
      </w:pPr>
      <w:r w:rsidRPr="001923A6">
        <w:rPr>
          <w:rFonts w:cstheme="minorHAnsi"/>
          <w:color w:val="000000"/>
          <w:shd w:val="clear" w:color="auto" w:fill="FFFFFF"/>
        </w:rPr>
        <w:t>Pseudonymisation is defined in the GDPR as “</w:t>
      </w:r>
      <w:r w:rsidRPr="001923A6">
        <w:rPr>
          <w:rFonts w:cstheme="minorHAnsi"/>
          <w:i/>
          <w:color w:val="000000"/>
          <w:shd w:val="clear" w:color="auto" w:fill="FFFFFF"/>
        </w:rPr>
        <w:t>the processing of personal data in such a way that the data can no longer be attributed to a specific data subject without the use of additional information, as long as such additional information is kept separately and subject to technical and organizational measures to ensure non-attribution to an identified or identifiable individual</w:t>
      </w:r>
      <w:r w:rsidRPr="001923A6">
        <w:rPr>
          <w:rFonts w:cstheme="minorHAnsi"/>
          <w:color w:val="000000"/>
          <w:shd w:val="clear" w:color="auto" w:fill="FFFFFF"/>
        </w:rPr>
        <w:t>” (</w:t>
      </w:r>
      <w:hyperlink r:id="rId13" w:history="1">
        <w:r w:rsidRPr="001923A6">
          <w:rPr>
            <w:rFonts w:cstheme="minorHAnsi"/>
            <w:color w:val="3366CC"/>
            <w:shd w:val="clear" w:color="auto" w:fill="FFFFFF"/>
          </w:rPr>
          <w:t>Article 4(3b)</w:t>
        </w:r>
      </w:hyperlink>
      <w:r w:rsidRPr="001923A6">
        <w:rPr>
          <w:rFonts w:cstheme="minorHAnsi"/>
          <w:color w:val="000000"/>
          <w:shd w:val="clear" w:color="auto" w:fill="FFFFFF"/>
        </w:rPr>
        <w:t>).</w:t>
      </w:r>
    </w:p>
    <w:p w14:paraId="08506AD3" w14:textId="6E016314" w:rsidR="00B455B5" w:rsidRPr="00871ABA" w:rsidRDefault="001923A6" w:rsidP="001923A6">
      <w:pPr>
        <w:spacing w:line="360" w:lineRule="auto"/>
        <w:rPr>
          <w:rFonts w:cstheme="minorHAnsi"/>
        </w:rPr>
      </w:pPr>
      <w:r w:rsidRPr="00871ABA">
        <w:rPr>
          <w:rFonts w:cstheme="minorHAnsi"/>
        </w:rPr>
        <w:t>P</w:t>
      </w:r>
      <w:r w:rsidR="0004716A" w:rsidRPr="00871ABA">
        <w:rPr>
          <w:rFonts w:cstheme="minorHAnsi"/>
        </w:rPr>
        <w:t>seudo</w:t>
      </w:r>
      <w:r w:rsidRPr="00871ABA">
        <w:rPr>
          <w:rFonts w:cstheme="minorHAnsi"/>
        </w:rPr>
        <w:t>n</w:t>
      </w:r>
      <w:r w:rsidR="0004716A" w:rsidRPr="00871ABA">
        <w:rPr>
          <w:rFonts w:cstheme="minorHAnsi"/>
        </w:rPr>
        <w:t>y</w:t>
      </w:r>
      <w:r w:rsidRPr="00871ABA">
        <w:rPr>
          <w:rFonts w:cstheme="minorHAnsi"/>
        </w:rPr>
        <w:t>mised data falls under the scope of GDPR as certain identifiers could be collated to re-identify the person</w:t>
      </w:r>
      <w:r w:rsidR="00961B36" w:rsidRPr="00871ABA">
        <w:rPr>
          <w:rFonts w:cstheme="minorHAnsi"/>
        </w:rPr>
        <w:t>, for example a person’s NHS number is a widely used pseudonym</w:t>
      </w:r>
      <w:r w:rsidR="00464009" w:rsidRPr="00871ABA">
        <w:rPr>
          <w:rFonts w:cstheme="minorHAnsi"/>
        </w:rPr>
        <w:t xml:space="preserve"> that should be considered as identifiable data.</w:t>
      </w:r>
    </w:p>
    <w:p w14:paraId="0666EF4C" w14:textId="4CC4739B" w:rsidR="005B2CB4" w:rsidRDefault="00B455B5" w:rsidP="00B0748C">
      <w:pPr>
        <w:spacing w:line="360" w:lineRule="auto"/>
        <w:rPr>
          <w:rFonts w:cstheme="minorHAnsi"/>
        </w:rPr>
      </w:pPr>
      <w:r w:rsidRPr="00871ABA">
        <w:rPr>
          <w:rFonts w:cstheme="minorHAnsi"/>
        </w:rPr>
        <w:t>Lesser used pseudonyms, such as a study ID, could be considered anonymised if there is certainty that any data recipient would be unable to reidentify the individual.</w:t>
      </w:r>
      <w:bookmarkStart w:id="12" w:name="_Toc92809965"/>
    </w:p>
    <w:p w14:paraId="3453115C" w14:textId="77777777" w:rsidR="00B0748C" w:rsidRPr="00B0748C" w:rsidRDefault="00B0748C" w:rsidP="00B0748C">
      <w:pPr>
        <w:spacing w:line="360" w:lineRule="auto"/>
        <w:rPr>
          <w:rFonts w:cstheme="minorHAnsi"/>
          <w:color w:val="92D050"/>
        </w:rPr>
      </w:pPr>
    </w:p>
    <w:p w14:paraId="2A60553B" w14:textId="78AFAC03" w:rsidR="001923A6" w:rsidRPr="001923A6" w:rsidRDefault="00A72055" w:rsidP="00557211">
      <w:pPr>
        <w:pStyle w:val="Heading2"/>
      </w:pPr>
      <w:bookmarkStart w:id="13" w:name="_Toc100218645"/>
      <w:r>
        <w:t xml:space="preserve">1.5 </w:t>
      </w:r>
      <w:r w:rsidR="001923A6" w:rsidRPr="001923A6">
        <w:t>What is a link/identifying key?</w:t>
      </w:r>
      <w:bookmarkEnd w:id="12"/>
      <w:bookmarkEnd w:id="13"/>
    </w:p>
    <w:p w14:paraId="01C04316" w14:textId="09430630" w:rsidR="0005481B" w:rsidRDefault="001923A6" w:rsidP="001923A6">
      <w:pPr>
        <w:spacing w:line="360" w:lineRule="auto"/>
      </w:pPr>
      <w:r w:rsidRPr="001923A6">
        <w:t>To minimise the risk of accidental disclosure of personal data, it is advisable to create pseudonymised or, where possible, anonymised versions of working data</w:t>
      </w:r>
      <w:r w:rsidR="007A46F3">
        <w:t xml:space="preserve"> for purposes of processing and analysis</w:t>
      </w:r>
      <w:r w:rsidRPr="001923A6">
        <w:t xml:space="preserve">. </w:t>
      </w:r>
      <w:r w:rsidR="0005481B">
        <w:t>T</w:t>
      </w:r>
      <w:r w:rsidR="0005481B" w:rsidRPr="001923A6">
        <w:t>he personal</w:t>
      </w:r>
      <w:r w:rsidR="0005481B">
        <w:t xml:space="preserve"> </w:t>
      </w:r>
      <w:r w:rsidR="0005481B" w:rsidRPr="001923A6">
        <w:t>identifying information and the</w:t>
      </w:r>
      <w:r w:rsidR="0005481B">
        <w:t xml:space="preserve"> linked pseudonym IDs (key) are</w:t>
      </w:r>
      <w:r w:rsidR="0005481B" w:rsidRPr="001923A6">
        <w:t xml:space="preserve"> stored separately from a dataset in which individual identifiers have been replaced by the pseudonym IDs.</w:t>
      </w:r>
    </w:p>
    <w:p w14:paraId="76975C25" w14:textId="2A410D00" w:rsidR="001923A6" w:rsidRPr="001923A6" w:rsidRDefault="00425E68" w:rsidP="001923A6">
      <w:pPr>
        <w:spacing w:line="360" w:lineRule="auto"/>
      </w:pPr>
      <w:r>
        <w:t>Please n</w:t>
      </w:r>
      <w:r w:rsidR="001923A6" w:rsidRPr="001923A6">
        <w:t>ote that in the majority of cases, pseudonymised data will continue to be personal data as long as the identifying ‘key’ is held</w:t>
      </w:r>
      <w:r w:rsidR="00FA54A4">
        <w:t xml:space="preserve"> by</w:t>
      </w:r>
      <w:r w:rsidR="001923A6" w:rsidRPr="001923A6">
        <w:t xml:space="preserve"> the </w:t>
      </w:r>
      <w:r w:rsidR="007A46F3">
        <w:t xml:space="preserve">NHS site or Sponsor </w:t>
      </w:r>
      <w:r w:rsidR="001923A6" w:rsidRPr="001923A6">
        <w:t xml:space="preserve">or a third party. If the link key is destroyed and the data does not contain direct/indirect identifiers, the data would be considered anonymised. If you are unsure whether your data is truly anonymised, please refer to the ICO </w:t>
      </w:r>
      <w:hyperlink r:id="rId14" w:history="1">
        <w:r w:rsidR="001923A6" w:rsidRPr="001923A6">
          <w:rPr>
            <w:color w:val="0000FF" w:themeColor="hyperlink"/>
            <w:u w:val="single"/>
          </w:rPr>
          <w:t>website</w:t>
        </w:r>
      </w:hyperlink>
      <w:r w:rsidR="001923A6" w:rsidRPr="001923A6">
        <w:t xml:space="preserve">. </w:t>
      </w:r>
    </w:p>
    <w:p w14:paraId="37B268B6" w14:textId="789EE3A3" w:rsidR="005B2CB4" w:rsidRDefault="001923A6" w:rsidP="001923A6">
      <w:pPr>
        <w:spacing w:line="360" w:lineRule="auto"/>
      </w:pPr>
      <w:r w:rsidRPr="001923A6">
        <w:t>The i</w:t>
      </w:r>
      <w:r w:rsidR="006B73F7">
        <w:t xml:space="preserve">dentifying key is usually kept </w:t>
      </w:r>
      <w:r w:rsidRPr="001923A6">
        <w:t xml:space="preserve">when it may be necessary to refer back to the original records for further information, or for verification, or if it is planned to provide feedback to participants or service providers. Anonymised data usually ensures confidentiality but prevents follow-up, verification or feedback and may not be compatible with the aims of the project. </w:t>
      </w:r>
    </w:p>
    <w:p w14:paraId="31D9E02B" w14:textId="1FA136B3" w:rsidR="001923A6" w:rsidRPr="001923A6" w:rsidRDefault="00A72055" w:rsidP="00557211">
      <w:pPr>
        <w:pStyle w:val="Heading2"/>
      </w:pPr>
      <w:bookmarkStart w:id="14" w:name="_Toc92809966"/>
      <w:bookmarkStart w:id="15" w:name="_Toc100218646"/>
      <w:r>
        <w:lastRenderedPageBreak/>
        <w:t xml:space="preserve">1.6 </w:t>
      </w:r>
      <w:r w:rsidR="001923A6" w:rsidRPr="001923A6">
        <w:t>What are special categories data?</w:t>
      </w:r>
      <w:bookmarkEnd w:id="14"/>
      <w:bookmarkEnd w:id="15"/>
    </w:p>
    <w:p w14:paraId="52EC50D1" w14:textId="40598EC6" w:rsidR="00425E68" w:rsidRDefault="001C15EF" w:rsidP="001923A6">
      <w:pPr>
        <w:spacing w:line="360" w:lineRule="auto"/>
        <w:rPr>
          <w:rFonts w:cstheme="minorHAnsi"/>
        </w:rPr>
      </w:pPr>
      <w:hyperlink r:id="rId15" w:history="1">
        <w:r w:rsidR="001923A6" w:rsidRPr="00C868A7">
          <w:rPr>
            <w:rStyle w:val="Hyperlink"/>
            <w:rFonts w:cstheme="minorHAnsi"/>
          </w:rPr>
          <w:t>Special category data</w:t>
        </w:r>
      </w:hyperlink>
      <w:r w:rsidR="001923A6" w:rsidRPr="001923A6">
        <w:rPr>
          <w:rFonts w:cstheme="minorHAnsi"/>
        </w:rPr>
        <w:t xml:space="preserve"> includes information about an individual’s</w:t>
      </w:r>
      <w:r w:rsidR="00425E68">
        <w:rPr>
          <w:rFonts w:cstheme="minorHAnsi"/>
        </w:rPr>
        <w:t>:</w:t>
      </w:r>
    </w:p>
    <w:p w14:paraId="76697A63" w14:textId="77777777" w:rsidR="00425E68" w:rsidRPr="00425E68" w:rsidRDefault="00425E68" w:rsidP="00425E68">
      <w:pPr>
        <w:numPr>
          <w:ilvl w:val="0"/>
          <w:numId w:val="7"/>
        </w:numPr>
        <w:shd w:val="clear" w:color="auto" w:fill="FFFFFF"/>
        <w:spacing w:before="100" w:beforeAutospacing="1" w:after="100" w:afterAutospacing="1" w:line="240" w:lineRule="auto"/>
        <w:rPr>
          <w:rFonts w:eastAsia="Times New Roman" w:cstheme="minorHAnsi"/>
          <w:lang w:eastAsia="en-GB"/>
        </w:rPr>
      </w:pPr>
      <w:r w:rsidRPr="00425E68">
        <w:rPr>
          <w:rFonts w:eastAsia="Times New Roman" w:cstheme="minorHAnsi"/>
          <w:lang w:eastAsia="en-GB"/>
        </w:rPr>
        <w:t>personal data revealing </w:t>
      </w:r>
      <w:r w:rsidRPr="00425E68">
        <w:rPr>
          <w:rFonts w:eastAsia="Times New Roman" w:cstheme="minorHAnsi"/>
          <w:b/>
          <w:bCs/>
          <w:lang w:eastAsia="en-GB"/>
        </w:rPr>
        <w:t>racial or ethnic origin</w:t>
      </w:r>
      <w:r w:rsidRPr="00425E68">
        <w:rPr>
          <w:rFonts w:eastAsia="Times New Roman" w:cstheme="minorHAnsi"/>
          <w:lang w:eastAsia="en-GB"/>
        </w:rPr>
        <w:t>;</w:t>
      </w:r>
    </w:p>
    <w:p w14:paraId="47892578" w14:textId="77777777"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lang w:eastAsia="en-GB"/>
        </w:rPr>
        <w:t>personal data revealing </w:t>
      </w:r>
      <w:r w:rsidRPr="00425E68">
        <w:rPr>
          <w:rFonts w:eastAsia="Times New Roman" w:cstheme="minorHAnsi"/>
          <w:b/>
          <w:bCs/>
          <w:lang w:eastAsia="en-GB"/>
        </w:rPr>
        <w:t>political opinions</w:t>
      </w:r>
      <w:r w:rsidRPr="00425E68">
        <w:rPr>
          <w:rFonts w:eastAsia="Times New Roman" w:cstheme="minorHAnsi"/>
          <w:lang w:eastAsia="en-GB"/>
        </w:rPr>
        <w:t>;</w:t>
      </w:r>
    </w:p>
    <w:p w14:paraId="736F5005" w14:textId="77777777"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lang w:eastAsia="en-GB"/>
        </w:rPr>
        <w:t>personal data revealing </w:t>
      </w:r>
      <w:r w:rsidRPr="00425E68">
        <w:rPr>
          <w:rFonts w:eastAsia="Times New Roman" w:cstheme="minorHAnsi"/>
          <w:b/>
          <w:bCs/>
          <w:lang w:eastAsia="en-GB"/>
        </w:rPr>
        <w:t>religious or philosophical beliefs</w:t>
      </w:r>
      <w:r w:rsidRPr="00425E68">
        <w:rPr>
          <w:rFonts w:eastAsia="Times New Roman" w:cstheme="minorHAnsi"/>
          <w:lang w:eastAsia="en-GB"/>
        </w:rPr>
        <w:t>;</w:t>
      </w:r>
    </w:p>
    <w:p w14:paraId="105DD172" w14:textId="77777777"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lang w:eastAsia="en-GB"/>
        </w:rPr>
        <w:t>personal data revealing </w:t>
      </w:r>
      <w:r w:rsidRPr="00425E68">
        <w:rPr>
          <w:rFonts w:eastAsia="Times New Roman" w:cstheme="minorHAnsi"/>
          <w:b/>
          <w:bCs/>
          <w:lang w:eastAsia="en-GB"/>
        </w:rPr>
        <w:t>trade union membership</w:t>
      </w:r>
      <w:r w:rsidRPr="00425E68">
        <w:rPr>
          <w:rFonts w:eastAsia="Times New Roman" w:cstheme="minorHAnsi"/>
          <w:lang w:eastAsia="en-GB"/>
        </w:rPr>
        <w:t>;</w:t>
      </w:r>
    </w:p>
    <w:p w14:paraId="7A38BF2D" w14:textId="77777777"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b/>
          <w:bCs/>
          <w:lang w:eastAsia="en-GB"/>
        </w:rPr>
        <w:t>genetic data</w:t>
      </w:r>
      <w:r w:rsidRPr="00425E68">
        <w:rPr>
          <w:rFonts w:eastAsia="Times New Roman" w:cstheme="minorHAnsi"/>
          <w:lang w:eastAsia="en-GB"/>
        </w:rPr>
        <w:t>;</w:t>
      </w:r>
    </w:p>
    <w:p w14:paraId="6E0B2D76" w14:textId="77777777"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b/>
          <w:bCs/>
          <w:lang w:eastAsia="en-GB"/>
        </w:rPr>
        <w:t>biometric data</w:t>
      </w:r>
      <w:r w:rsidRPr="00425E68">
        <w:rPr>
          <w:rFonts w:eastAsia="Times New Roman" w:cstheme="minorHAnsi"/>
          <w:lang w:eastAsia="en-GB"/>
        </w:rPr>
        <w:t> (where used for identification purposes);</w:t>
      </w:r>
    </w:p>
    <w:p w14:paraId="3DDBFB7B" w14:textId="77777777"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lang w:eastAsia="en-GB"/>
        </w:rPr>
        <w:t>data concerning </w:t>
      </w:r>
      <w:r w:rsidRPr="00425E68">
        <w:rPr>
          <w:rFonts w:eastAsia="Times New Roman" w:cstheme="minorHAnsi"/>
          <w:b/>
          <w:bCs/>
          <w:lang w:eastAsia="en-GB"/>
        </w:rPr>
        <w:t>health</w:t>
      </w:r>
      <w:r w:rsidRPr="00425E68">
        <w:rPr>
          <w:rFonts w:eastAsia="Times New Roman" w:cstheme="minorHAnsi"/>
          <w:lang w:eastAsia="en-GB"/>
        </w:rPr>
        <w:t>;</w:t>
      </w:r>
    </w:p>
    <w:p w14:paraId="57D2B2E6" w14:textId="114424D3" w:rsidR="00425E68" w:rsidRPr="00425E68" w:rsidRDefault="00425E68" w:rsidP="00425E68">
      <w:pPr>
        <w:numPr>
          <w:ilvl w:val="0"/>
          <w:numId w:val="7"/>
        </w:numPr>
        <w:shd w:val="clear" w:color="auto" w:fill="FFFFFF"/>
        <w:spacing w:before="120" w:after="100" w:afterAutospacing="1" w:line="240" w:lineRule="auto"/>
        <w:rPr>
          <w:rFonts w:eastAsia="Times New Roman" w:cstheme="minorHAnsi"/>
          <w:lang w:eastAsia="en-GB"/>
        </w:rPr>
      </w:pPr>
      <w:r w:rsidRPr="00425E68">
        <w:rPr>
          <w:rFonts w:eastAsia="Times New Roman" w:cstheme="minorHAnsi"/>
          <w:lang w:eastAsia="en-GB"/>
        </w:rPr>
        <w:t>data concerning a person’s </w:t>
      </w:r>
      <w:r w:rsidRPr="00425E68">
        <w:rPr>
          <w:rFonts w:eastAsia="Times New Roman" w:cstheme="minorHAnsi"/>
          <w:b/>
          <w:bCs/>
          <w:lang w:eastAsia="en-GB"/>
        </w:rPr>
        <w:t>sex life</w:t>
      </w:r>
      <w:r w:rsidRPr="00425E68">
        <w:rPr>
          <w:rFonts w:eastAsia="Times New Roman" w:cstheme="minorHAnsi"/>
          <w:lang w:eastAsia="en-GB"/>
        </w:rPr>
        <w:t>; and</w:t>
      </w:r>
      <w:r>
        <w:rPr>
          <w:rFonts w:eastAsia="Times New Roman" w:cstheme="minorHAnsi"/>
          <w:lang w:eastAsia="en-GB"/>
        </w:rPr>
        <w:t xml:space="preserve"> </w:t>
      </w:r>
      <w:r w:rsidRPr="00425E68">
        <w:rPr>
          <w:rFonts w:eastAsia="Times New Roman" w:cstheme="minorHAnsi"/>
          <w:lang w:eastAsia="en-GB"/>
        </w:rPr>
        <w:t>data concerning a person’s </w:t>
      </w:r>
      <w:r w:rsidRPr="00425E68">
        <w:rPr>
          <w:rFonts w:eastAsia="Times New Roman" w:cstheme="minorHAnsi"/>
          <w:b/>
          <w:bCs/>
          <w:lang w:eastAsia="en-GB"/>
        </w:rPr>
        <w:t>sexual orientation</w:t>
      </w:r>
      <w:r w:rsidRPr="00425E68">
        <w:rPr>
          <w:rFonts w:eastAsia="Times New Roman" w:cstheme="minorHAnsi"/>
          <w:lang w:eastAsia="en-GB"/>
        </w:rPr>
        <w:t>.</w:t>
      </w:r>
    </w:p>
    <w:p w14:paraId="6BF8C7F1" w14:textId="0C82A35A" w:rsidR="001923A6" w:rsidRDefault="001923A6" w:rsidP="001923A6">
      <w:pPr>
        <w:spacing w:line="360" w:lineRule="auto"/>
        <w:rPr>
          <w:rFonts w:cstheme="minorHAnsi"/>
        </w:rPr>
      </w:pPr>
      <w:r w:rsidRPr="001923A6">
        <w:rPr>
          <w:rFonts w:cstheme="minorHAnsi"/>
        </w:rPr>
        <w:t xml:space="preserve">Any personal data falling into these categories will need to be managed with extra care and should be collected only if this information is important to answer the research question.  For research projects, if special categories data will be obtained, this needs to be clear in the Participant Information Sheet (PIS) and Consent form. The participant will need to explicitly consent to this information being collected.  </w:t>
      </w:r>
    </w:p>
    <w:p w14:paraId="0AC15C03" w14:textId="77777777" w:rsidR="005B2CB4" w:rsidRPr="001923A6" w:rsidRDefault="005B2CB4" w:rsidP="001923A6">
      <w:pPr>
        <w:spacing w:line="360" w:lineRule="auto"/>
        <w:rPr>
          <w:rFonts w:cstheme="minorHAnsi"/>
        </w:rPr>
      </w:pPr>
    </w:p>
    <w:p w14:paraId="421B67A1" w14:textId="218B6F46" w:rsidR="001923A6" w:rsidRPr="001923A6" w:rsidRDefault="00A72055" w:rsidP="00557211">
      <w:pPr>
        <w:pStyle w:val="Heading2"/>
      </w:pPr>
      <w:bookmarkStart w:id="16" w:name="_Toc92809967"/>
      <w:bookmarkStart w:id="17" w:name="_Toc100218647"/>
      <w:r>
        <w:t xml:space="preserve">1.7 </w:t>
      </w:r>
      <w:r w:rsidR="001923A6" w:rsidRPr="001923A6">
        <w:t>What is the lawful basis for processing the Personal Data?</w:t>
      </w:r>
      <w:bookmarkEnd w:id="16"/>
      <w:bookmarkEnd w:id="17"/>
    </w:p>
    <w:p w14:paraId="708F150C" w14:textId="36E28EDE" w:rsidR="001923A6" w:rsidRPr="001923A6" w:rsidRDefault="001C15EF" w:rsidP="001923A6">
      <w:pPr>
        <w:spacing w:line="360" w:lineRule="auto"/>
        <w:rPr>
          <w:rFonts w:cstheme="minorHAnsi"/>
        </w:rPr>
      </w:pPr>
      <w:hyperlink r:id="rId16" w:history="1">
        <w:r w:rsidR="00D66CEC" w:rsidRPr="00425E68">
          <w:rPr>
            <w:rStyle w:val="Hyperlink"/>
            <w:rFonts w:cstheme="minorHAnsi"/>
          </w:rPr>
          <w:t>UK GDPR (Article 6)</w:t>
        </w:r>
      </w:hyperlink>
      <w:r w:rsidR="00D66CEC" w:rsidRPr="00425E68">
        <w:rPr>
          <w:rFonts w:cstheme="minorHAnsi"/>
        </w:rPr>
        <w:t xml:space="preserve"> </w:t>
      </w:r>
      <w:r w:rsidR="00425E68">
        <w:rPr>
          <w:rFonts w:cstheme="minorHAnsi"/>
        </w:rPr>
        <w:t xml:space="preserve">states that </w:t>
      </w:r>
      <w:r w:rsidR="00D66CEC" w:rsidRPr="00425E68">
        <w:rPr>
          <w:rFonts w:cstheme="minorHAnsi"/>
        </w:rPr>
        <w:t xml:space="preserve">you must have a lawful basis for processing Personal </w:t>
      </w:r>
      <w:hyperlink r:id="rId17" w:history="1">
        <w:r w:rsidR="00D66CEC" w:rsidRPr="00425E68">
          <w:rPr>
            <w:rFonts w:cstheme="minorHAnsi"/>
          </w:rPr>
          <w:t>Data</w:t>
        </w:r>
      </w:hyperlink>
      <w:r w:rsidR="00D66CEC" w:rsidRPr="00425E68">
        <w:rPr>
          <w:rFonts w:cstheme="minorHAnsi"/>
        </w:rPr>
        <w:t xml:space="preserve">. </w:t>
      </w:r>
      <w:r w:rsidR="00D85429" w:rsidRPr="00425E68">
        <w:rPr>
          <w:rFonts w:cstheme="minorHAnsi"/>
        </w:rPr>
        <w:t xml:space="preserve">There are six available lawful bases for processing. No single basis is more important than the others and which basis is most appropriate to use will depend on your purpose and relationship with the participant. </w:t>
      </w:r>
      <w:r w:rsidR="00F21493">
        <w:rPr>
          <w:rFonts w:cstheme="minorHAnsi"/>
        </w:rPr>
        <w:t>F</w:t>
      </w:r>
      <w:r w:rsidR="00D85429" w:rsidRPr="00425E68">
        <w:rPr>
          <w:rFonts w:cstheme="minorHAnsi"/>
        </w:rPr>
        <w:t xml:space="preserve">urther details in regards to each of the bases can be found on the </w:t>
      </w:r>
      <w:hyperlink r:id="rId18" w:history="1">
        <w:r w:rsidR="00D85429" w:rsidRPr="00425E68">
          <w:rPr>
            <w:rStyle w:val="Hyperlink"/>
            <w:rFonts w:cstheme="minorHAnsi"/>
            <w:color w:val="auto"/>
            <w:u w:val="none"/>
          </w:rPr>
          <w:t>HRA</w:t>
        </w:r>
      </w:hyperlink>
      <w:r w:rsidR="00D85429" w:rsidRPr="00425E68">
        <w:rPr>
          <w:rFonts w:cstheme="minorHAnsi"/>
        </w:rPr>
        <w:t xml:space="preserve"> and </w:t>
      </w:r>
      <w:hyperlink r:id="rId19" w:anchor="what" w:history="1">
        <w:r w:rsidR="00D85429" w:rsidRPr="00425E68">
          <w:rPr>
            <w:rStyle w:val="Hyperlink"/>
            <w:rFonts w:cstheme="minorHAnsi"/>
            <w:color w:val="auto"/>
            <w:u w:val="none"/>
          </w:rPr>
          <w:t>ICO</w:t>
        </w:r>
      </w:hyperlink>
      <w:r w:rsidR="00D85429" w:rsidRPr="00425E68">
        <w:rPr>
          <w:rFonts w:cstheme="minorHAnsi"/>
        </w:rPr>
        <w:t xml:space="preserve"> websites</w:t>
      </w:r>
      <w:r w:rsidR="00D85429" w:rsidRPr="008F294B">
        <w:rPr>
          <w:rFonts w:cstheme="minorHAnsi"/>
        </w:rPr>
        <w:t>.</w:t>
      </w:r>
      <w:r w:rsidR="00D85429" w:rsidRPr="009F4AC3">
        <w:rPr>
          <w:rFonts w:cstheme="minorHAnsi"/>
        </w:rPr>
        <w:t xml:space="preserve"> </w:t>
      </w:r>
      <w:r w:rsidR="00860554" w:rsidRPr="008F294B">
        <w:rPr>
          <w:rFonts w:cstheme="minorHAnsi"/>
        </w:rPr>
        <w:t>One</w:t>
      </w:r>
      <w:r w:rsidR="00860554">
        <w:rPr>
          <w:rFonts w:cstheme="minorHAnsi"/>
        </w:rPr>
        <w:t xml:space="preserve"> of the </w:t>
      </w:r>
      <w:r w:rsidR="00D85429">
        <w:rPr>
          <w:rFonts w:cstheme="minorHAnsi"/>
        </w:rPr>
        <w:t>legal bas</w:t>
      </w:r>
      <w:r w:rsidR="00860554">
        <w:rPr>
          <w:rFonts w:cstheme="minorHAnsi"/>
        </w:rPr>
        <w:t>es</w:t>
      </w:r>
      <w:r w:rsidR="00D85429">
        <w:rPr>
          <w:rFonts w:cstheme="minorHAnsi"/>
        </w:rPr>
        <w:t xml:space="preserve"> for processing data is consent. Even though consent is at the cornerstone of ethical research and </w:t>
      </w:r>
      <w:r w:rsidR="00D85429" w:rsidRPr="00D85429">
        <w:rPr>
          <w:rFonts w:cstheme="minorHAnsi"/>
        </w:rPr>
        <w:t>can help manage expectations in terms of who has access to confidential</w:t>
      </w:r>
      <w:r w:rsidR="00D85429">
        <w:rPr>
          <w:rFonts w:cstheme="minorHAnsi"/>
        </w:rPr>
        <w:t xml:space="preserve"> </w:t>
      </w:r>
      <w:r w:rsidR="00D85429" w:rsidRPr="00D85429">
        <w:rPr>
          <w:rFonts w:cstheme="minorHAnsi"/>
        </w:rPr>
        <w:t>information (common law</w:t>
      </w:r>
      <w:r w:rsidR="00860554">
        <w:rPr>
          <w:rFonts w:cstheme="minorHAnsi"/>
        </w:rPr>
        <w:t xml:space="preserve"> of confidentiality</w:t>
      </w:r>
      <w:r w:rsidR="00D85429" w:rsidRPr="00D85429">
        <w:rPr>
          <w:rFonts w:cstheme="minorHAnsi"/>
        </w:rPr>
        <w:t>)</w:t>
      </w:r>
      <w:r w:rsidR="00D85429">
        <w:rPr>
          <w:rFonts w:cstheme="minorHAnsi"/>
        </w:rPr>
        <w:t>,</w:t>
      </w:r>
      <w:r w:rsidR="00860554" w:rsidRPr="00860554">
        <w:rPr>
          <w:rFonts w:cstheme="minorHAnsi"/>
        </w:rPr>
        <w:t xml:space="preserve"> </w:t>
      </w:r>
      <w:r w:rsidR="00860554">
        <w:rPr>
          <w:rFonts w:cstheme="minorHAnsi"/>
        </w:rPr>
        <w:t xml:space="preserve">it </w:t>
      </w:r>
      <w:r w:rsidR="00860554" w:rsidRPr="00860554">
        <w:rPr>
          <w:rFonts w:cstheme="minorHAnsi"/>
        </w:rPr>
        <w:t>is not likely to be your lawful basis to hold and process personal</w:t>
      </w:r>
      <w:r w:rsidR="00860554">
        <w:rPr>
          <w:rFonts w:cstheme="minorHAnsi"/>
        </w:rPr>
        <w:t xml:space="preserve"> </w:t>
      </w:r>
      <w:r w:rsidR="00860554" w:rsidRPr="00860554">
        <w:rPr>
          <w:rFonts w:cstheme="minorHAnsi"/>
        </w:rPr>
        <w:t>data</w:t>
      </w:r>
      <w:r w:rsidR="00FA54A4">
        <w:rPr>
          <w:rFonts w:cstheme="minorHAnsi"/>
        </w:rPr>
        <w:t xml:space="preserve"> for research purposes</w:t>
      </w:r>
      <w:r w:rsidR="00860554">
        <w:rPr>
          <w:rFonts w:cstheme="minorHAnsi"/>
        </w:rPr>
        <w:t xml:space="preserve">. For further </w:t>
      </w:r>
      <w:r w:rsidR="00F21493">
        <w:rPr>
          <w:rFonts w:cstheme="minorHAnsi"/>
        </w:rPr>
        <w:t>explanation</w:t>
      </w:r>
      <w:r w:rsidR="00860554">
        <w:rPr>
          <w:rFonts w:cstheme="minorHAnsi"/>
        </w:rPr>
        <w:t xml:space="preserve">, please refer to the </w:t>
      </w:r>
      <w:hyperlink r:id="rId20" w:history="1">
        <w:r w:rsidR="00860554" w:rsidRPr="00860554">
          <w:rPr>
            <w:rStyle w:val="Hyperlink"/>
            <w:rFonts w:cstheme="minorHAnsi"/>
          </w:rPr>
          <w:t>UK Research and Innovation</w:t>
        </w:r>
      </w:hyperlink>
      <w:r w:rsidR="00860554">
        <w:rPr>
          <w:rFonts w:cstheme="minorHAnsi"/>
        </w:rPr>
        <w:t xml:space="preserve"> and</w:t>
      </w:r>
      <w:hyperlink r:id="rId21" w:history="1">
        <w:r w:rsidR="00860554" w:rsidRPr="00860554">
          <w:rPr>
            <w:rStyle w:val="Hyperlink"/>
            <w:rFonts w:cstheme="minorHAnsi"/>
          </w:rPr>
          <w:t xml:space="preserve"> HRA</w:t>
        </w:r>
      </w:hyperlink>
      <w:r w:rsidR="00860554">
        <w:rPr>
          <w:rFonts w:cstheme="minorHAnsi"/>
        </w:rPr>
        <w:t xml:space="preserve"> websites. </w:t>
      </w:r>
      <w:r w:rsidR="001923A6" w:rsidRPr="001923A6">
        <w:rPr>
          <w:rFonts w:cstheme="minorHAnsi"/>
        </w:rPr>
        <w:t xml:space="preserve">For research carried out at NHS Trusts and Universities, the lawful bases for processing Personal Data will most likely fall under </w:t>
      </w:r>
      <w:r w:rsidR="006E1C50">
        <w:rPr>
          <w:rFonts w:cstheme="minorHAnsi"/>
        </w:rPr>
        <w:t>“</w:t>
      </w:r>
      <w:r w:rsidR="001923A6" w:rsidRPr="001923A6">
        <w:rPr>
          <w:rFonts w:cstheme="minorHAnsi"/>
        </w:rPr>
        <w:t xml:space="preserve">tasks being carried </w:t>
      </w:r>
      <w:r w:rsidR="006B73F7">
        <w:rPr>
          <w:rFonts w:cstheme="minorHAnsi"/>
        </w:rPr>
        <w:t>out in the public interest</w:t>
      </w:r>
      <w:r w:rsidR="006E1C50">
        <w:rPr>
          <w:rFonts w:cstheme="minorHAnsi"/>
        </w:rPr>
        <w:t>”</w:t>
      </w:r>
      <w:r w:rsidR="006B73F7">
        <w:rPr>
          <w:rFonts w:cstheme="minorHAnsi"/>
        </w:rPr>
        <w:t xml:space="preserve"> for n</w:t>
      </w:r>
      <w:r w:rsidR="001923A6" w:rsidRPr="001923A6">
        <w:rPr>
          <w:rFonts w:cstheme="minorHAnsi"/>
        </w:rPr>
        <w:t>on-commercial studi</w:t>
      </w:r>
      <w:r w:rsidR="006B73F7">
        <w:rPr>
          <w:rFonts w:cstheme="minorHAnsi"/>
        </w:rPr>
        <w:t xml:space="preserve">es and </w:t>
      </w:r>
      <w:r w:rsidR="006E1C50">
        <w:rPr>
          <w:rFonts w:cstheme="minorHAnsi"/>
        </w:rPr>
        <w:t>“</w:t>
      </w:r>
      <w:r w:rsidR="006B73F7">
        <w:rPr>
          <w:rFonts w:cstheme="minorHAnsi"/>
        </w:rPr>
        <w:t>legitimate interest</w:t>
      </w:r>
      <w:r w:rsidR="006E1C50">
        <w:rPr>
          <w:rFonts w:cstheme="minorHAnsi"/>
        </w:rPr>
        <w:t>”</w:t>
      </w:r>
      <w:r w:rsidR="006B73F7">
        <w:rPr>
          <w:rFonts w:cstheme="minorHAnsi"/>
        </w:rPr>
        <w:t xml:space="preserve"> for c</w:t>
      </w:r>
      <w:r w:rsidR="001923A6" w:rsidRPr="001923A6">
        <w:rPr>
          <w:rFonts w:cstheme="minorHAnsi"/>
        </w:rPr>
        <w:t xml:space="preserve">ommercial studies.  </w:t>
      </w:r>
    </w:p>
    <w:p w14:paraId="3C275C54" w14:textId="1EFE26D0" w:rsidR="001923A6" w:rsidRPr="001923A6" w:rsidRDefault="001923A6" w:rsidP="001923A6">
      <w:pPr>
        <w:spacing w:line="360" w:lineRule="auto"/>
        <w:rPr>
          <w:rFonts w:cstheme="minorHAnsi"/>
        </w:rPr>
      </w:pPr>
      <w:r w:rsidRPr="001923A6">
        <w:rPr>
          <w:rFonts w:cstheme="minorHAnsi"/>
        </w:rPr>
        <w:t xml:space="preserve">If you are processing special category data, an additional special category condition will need to be identified to comply with </w:t>
      </w:r>
      <w:r w:rsidR="006E1C50">
        <w:rPr>
          <w:rFonts w:cstheme="minorHAnsi"/>
        </w:rPr>
        <w:t xml:space="preserve">GDPR </w:t>
      </w:r>
      <w:hyperlink r:id="rId22" w:history="1">
        <w:r w:rsidRPr="001923A6">
          <w:rPr>
            <w:rFonts w:cstheme="minorHAnsi"/>
            <w:color w:val="0000FF" w:themeColor="hyperlink"/>
            <w:u w:val="single"/>
          </w:rPr>
          <w:t>Article 9</w:t>
        </w:r>
      </w:hyperlink>
      <w:r w:rsidRPr="001923A6">
        <w:rPr>
          <w:rFonts w:cstheme="minorHAnsi"/>
        </w:rPr>
        <w:t xml:space="preserve">. For most studies, </w:t>
      </w:r>
      <w:r w:rsidR="00425E68" w:rsidRPr="001923A6">
        <w:rPr>
          <w:rFonts w:cstheme="minorHAnsi"/>
        </w:rPr>
        <w:t>to</w:t>
      </w:r>
      <w:r w:rsidRPr="001923A6">
        <w:rPr>
          <w:rFonts w:cstheme="minorHAnsi"/>
        </w:rPr>
        <w:t xml:space="preserve"> comply with Article 9, the team will need to obtain explicit consent from the participant for the sensitive information to be collected.</w:t>
      </w:r>
      <w:r w:rsidR="008811CB">
        <w:rPr>
          <w:rFonts w:cstheme="minorHAnsi"/>
        </w:rPr>
        <w:t xml:space="preserve"> The </w:t>
      </w:r>
      <w:r w:rsidR="00793FFE">
        <w:rPr>
          <w:rFonts w:cstheme="minorHAnsi"/>
        </w:rPr>
        <w:t xml:space="preserve">UHBW </w:t>
      </w:r>
      <w:r w:rsidR="008811CB">
        <w:rPr>
          <w:rFonts w:cstheme="minorHAnsi"/>
        </w:rPr>
        <w:t xml:space="preserve">Sponsor contact taking the study through sponsorship will ensure that the lawful basis </w:t>
      </w:r>
      <w:r w:rsidR="0037645E">
        <w:rPr>
          <w:rFonts w:cstheme="minorHAnsi"/>
        </w:rPr>
        <w:lastRenderedPageBreak/>
        <w:t xml:space="preserve">and special category condition (if applicable) </w:t>
      </w:r>
      <w:r w:rsidR="008811CB">
        <w:rPr>
          <w:rFonts w:cstheme="minorHAnsi"/>
        </w:rPr>
        <w:t xml:space="preserve">for processing data is clear in the study documents (Protocol, IRAS form, PIS and ICF). </w:t>
      </w:r>
      <w:r w:rsidR="0067050E">
        <w:rPr>
          <w:rFonts w:cstheme="minorHAnsi"/>
        </w:rPr>
        <w:t>Research Management Facilitators</w:t>
      </w:r>
      <w:r w:rsidR="00F21493">
        <w:rPr>
          <w:rFonts w:cstheme="minorHAnsi"/>
        </w:rPr>
        <w:t xml:space="preserve"> should</w:t>
      </w:r>
      <w:r w:rsidR="0067050E">
        <w:rPr>
          <w:rFonts w:cstheme="minorHAnsi"/>
        </w:rPr>
        <w:t xml:space="preserve"> refer to the latest guidance available in the </w:t>
      </w:r>
      <w:hyperlink r:id="rId23" w:history="1">
        <w:r w:rsidR="0067050E" w:rsidRPr="0067050E">
          <w:rPr>
            <w:rStyle w:val="Hyperlink"/>
            <w:rFonts w:cstheme="minorHAnsi"/>
          </w:rPr>
          <w:t>HRA Approval Standards</w:t>
        </w:r>
      </w:hyperlink>
      <w:r w:rsidR="0067050E">
        <w:rPr>
          <w:rFonts w:cstheme="minorHAnsi"/>
        </w:rPr>
        <w:t xml:space="preserve"> in regards to the legal basis that will be used for a study and </w:t>
      </w:r>
      <w:r w:rsidR="00425E68">
        <w:rPr>
          <w:rFonts w:cstheme="minorHAnsi"/>
        </w:rPr>
        <w:t xml:space="preserve">the </w:t>
      </w:r>
      <w:r w:rsidR="0067050E">
        <w:rPr>
          <w:rFonts w:cstheme="minorHAnsi"/>
        </w:rPr>
        <w:t xml:space="preserve">appropriate information </w:t>
      </w:r>
      <w:r w:rsidR="00425E68">
        <w:rPr>
          <w:rFonts w:cstheme="minorHAnsi"/>
        </w:rPr>
        <w:t xml:space="preserve">that </w:t>
      </w:r>
      <w:r w:rsidR="00AF18FC">
        <w:rPr>
          <w:rFonts w:cstheme="minorHAnsi"/>
        </w:rPr>
        <w:t>should</w:t>
      </w:r>
      <w:r w:rsidR="00425E68">
        <w:rPr>
          <w:rFonts w:cstheme="minorHAnsi"/>
        </w:rPr>
        <w:t xml:space="preserve"> </w:t>
      </w:r>
      <w:r w:rsidR="0067050E">
        <w:rPr>
          <w:rFonts w:cstheme="minorHAnsi"/>
        </w:rPr>
        <w:t xml:space="preserve">be included in the study documents. </w:t>
      </w:r>
    </w:p>
    <w:p w14:paraId="067796ED" w14:textId="77777777" w:rsidR="00425E68" w:rsidRDefault="001923A6" w:rsidP="001923A6">
      <w:pPr>
        <w:spacing w:line="360" w:lineRule="auto"/>
        <w:rPr>
          <w:color w:val="0070C0"/>
        </w:rPr>
      </w:pPr>
      <w:bookmarkStart w:id="18" w:name="_Toc92809968"/>
      <w:r w:rsidRPr="00A72055">
        <w:rPr>
          <w:color w:val="0070C0"/>
        </w:rPr>
        <w:t>For research projects, how can I ensure that the Participant Information Sheet is compliant with the GDPR and ensure transparency?</w:t>
      </w:r>
      <w:bookmarkEnd w:id="18"/>
    </w:p>
    <w:p w14:paraId="22648299" w14:textId="0B6BE91B" w:rsidR="001923A6" w:rsidRPr="001923A6" w:rsidRDefault="001923A6" w:rsidP="001923A6">
      <w:pPr>
        <w:spacing w:line="360" w:lineRule="auto"/>
        <w:rPr>
          <w:rFonts w:cstheme="minorHAnsi"/>
        </w:rPr>
      </w:pPr>
      <w:r w:rsidRPr="001923A6">
        <w:rPr>
          <w:rFonts w:cstheme="minorHAnsi"/>
        </w:rPr>
        <w:t xml:space="preserve">Please refer to the HRA </w:t>
      </w:r>
      <w:hyperlink r:id="rId24" w:history="1">
        <w:r w:rsidRPr="001923A6">
          <w:rPr>
            <w:rFonts w:cstheme="minorHAnsi"/>
            <w:color w:val="0000FF" w:themeColor="hyperlink"/>
            <w:u w:val="single"/>
          </w:rPr>
          <w:t>website</w:t>
        </w:r>
      </w:hyperlink>
      <w:r w:rsidRPr="001923A6">
        <w:rPr>
          <w:rFonts w:cstheme="minorHAnsi"/>
        </w:rPr>
        <w:t xml:space="preserve"> which includes transparency wording for both Commercial and Non-commercial studies. The HRA </w:t>
      </w:r>
      <w:hyperlink r:id="rId25" w:history="1">
        <w:r w:rsidRPr="001923A6">
          <w:rPr>
            <w:rFonts w:cstheme="minorHAnsi"/>
            <w:color w:val="0000FF" w:themeColor="hyperlink"/>
            <w:u w:val="single"/>
          </w:rPr>
          <w:t>website</w:t>
        </w:r>
      </w:hyperlink>
      <w:r w:rsidRPr="001923A6">
        <w:rPr>
          <w:rFonts w:cstheme="minorHAnsi"/>
        </w:rPr>
        <w:t xml:space="preserve"> also provides examples of PISs/Consent forms for adult and children participants, including appropriate documentation for adults </w:t>
      </w:r>
      <w:r w:rsidR="005F1FE4">
        <w:rPr>
          <w:rFonts w:cstheme="minorHAnsi"/>
        </w:rPr>
        <w:t xml:space="preserve">who may </w:t>
      </w:r>
      <w:r w:rsidRPr="001923A6">
        <w:rPr>
          <w:rFonts w:cstheme="minorHAnsi"/>
        </w:rPr>
        <w:t xml:space="preserve">lack the capacity to consent. </w:t>
      </w:r>
    </w:p>
    <w:p w14:paraId="04F2DE35" w14:textId="7A4428BC" w:rsidR="001923A6" w:rsidRDefault="001923A6" w:rsidP="001923A6">
      <w:pPr>
        <w:spacing w:line="360" w:lineRule="auto"/>
        <w:rPr>
          <w:rFonts w:cstheme="minorHAnsi"/>
        </w:rPr>
      </w:pPr>
    </w:p>
    <w:p w14:paraId="23DBA6CA" w14:textId="186E6CFF" w:rsidR="005B2CB4" w:rsidRDefault="005B2CB4" w:rsidP="001923A6">
      <w:pPr>
        <w:spacing w:line="360" w:lineRule="auto"/>
        <w:rPr>
          <w:rFonts w:cstheme="minorHAnsi"/>
        </w:rPr>
      </w:pPr>
    </w:p>
    <w:p w14:paraId="5F5836AC" w14:textId="2F74DEFB" w:rsidR="005B2CB4" w:rsidRDefault="005B2CB4" w:rsidP="001923A6">
      <w:pPr>
        <w:spacing w:line="360" w:lineRule="auto"/>
        <w:rPr>
          <w:rFonts w:cstheme="minorHAnsi"/>
        </w:rPr>
      </w:pPr>
    </w:p>
    <w:p w14:paraId="319B03FF" w14:textId="6342D8FE" w:rsidR="005B2CB4" w:rsidRDefault="005B2CB4" w:rsidP="001923A6">
      <w:pPr>
        <w:spacing w:line="360" w:lineRule="auto"/>
        <w:rPr>
          <w:rFonts w:cstheme="minorHAnsi"/>
        </w:rPr>
      </w:pPr>
    </w:p>
    <w:p w14:paraId="168B6D5B" w14:textId="542ACCA8" w:rsidR="005B2CB4" w:rsidRDefault="005B2CB4" w:rsidP="001923A6">
      <w:pPr>
        <w:spacing w:line="360" w:lineRule="auto"/>
        <w:rPr>
          <w:rFonts w:cstheme="minorHAnsi"/>
        </w:rPr>
      </w:pPr>
    </w:p>
    <w:p w14:paraId="08FA2499" w14:textId="6BF6569E" w:rsidR="005B2CB4" w:rsidRDefault="005B2CB4" w:rsidP="001923A6">
      <w:pPr>
        <w:spacing w:line="360" w:lineRule="auto"/>
        <w:rPr>
          <w:rFonts w:cstheme="minorHAnsi"/>
        </w:rPr>
      </w:pPr>
    </w:p>
    <w:p w14:paraId="6465D93E" w14:textId="08AD37B7" w:rsidR="005B2CB4" w:rsidRDefault="005B2CB4" w:rsidP="001923A6">
      <w:pPr>
        <w:spacing w:line="360" w:lineRule="auto"/>
        <w:rPr>
          <w:rFonts w:cstheme="minorHAnsi"/>
        </w:rPr>
      </w:pPr>
    </w:p>
    <w:p w14:paraId="783F206C" w14:textId="212CE90F" w:rsidR="005B2CB4" w:rsidRDefault="005B2CB4" w:rsidP="001923A6">
      <w:pPr>
        <w:spacing w:line="360" w:lineRule="auto"/>
        <w:rPr>
          <w:rFonts w:cstheme="minorHAnsi"/>
        </w:rPr>
      </w:pPr>
    </w:p>
    <w:p w14:paraId="52F5B78B" w14:textId="17CD90CD" w:rsidR="005B2CB4" w:rsidRDefault="005B2CB4" w:rsidP="001923A6">
      <w:pPr>
        <w:spacing w:line="360" w:lineRule="auto"/>
        <w:rPr>
          <w:rFonts w:cstheme="minorHAnsi"/>
        </w:rPr>
      </w:pPr>
    </w:p>
    <w:p w14:paraId="4438B7E7" w14:textId="194ED466" w:rsidR="005B2CB4" w:rsidRDefault="005B2CB4" w:rsidP="001923A6">
      <w:pPr>
        <w:spacing w:line="360" w:lineRule="auto"/>
        <w:rPr>
          <w:rFonts w:cstheme="minorHAnsi"/>
        </w:rPr>
      </w:pPr>
    </w:p>
    <w:p w14:paraId="00371750" w14:textId="0A61CA4A" w:rsidR="005B2CB4" w:rsidRDefault="005B2CB4" w:rsidP="001923A6">
      <w:pPr>
        <w:spacing w:line="360" w:lineRule="auto"/>
        <w:rPr>
          <w:rFonts w:cstheme="minorHAnsi"/>
        </w:rPr>
      </w:pPr>
    </w:p>
    <w:p w14:paraId="631AE207" w14:textId="2719E8EB" w:rsidR="005B2CB4" w:rsidRDefault="005B2CB4" w:rsidP="005B2CB4">
      <w:pPr>
        <w:pStyle w:val="Heading1"/>
      </w:pPr>
      <w:bookmarkStart w:id="19" w:name="_Toc92809969"/>
    </w:p>
    <w:p w14:paraId="280942E2" w14:textId="77777777" w:rsidR="00F80004" w:rsidRPr="00F80004" w:rsidRDefault="00F80004" w:rsidP="00F80004"/>
    <w:p w14:paraId="4A970F5A" w14:textId="77777777" w:rsidR="005B2CB4" w:rsidRPr="005B2CB4" w:rsidRDefault="005B2CB4" w:rsidP="005B2CB4"/>
    <w:p w14:paraId="36ECACBC" w14:textId="1723C252" w:rsidR="00425E68" w:rsidRPr="00425E68" w:rsidRDefault="00AE44DD" w:rsidP="00425E68">
      <w:pPr>
        <w:pStyle w:val="Heading1"/>
        <w:numPr>
          <w:ilvl w:val="0"/>
          <w:numId w:val="5"/>
        </w:numPr>
      </w:pPr>
      <w:bookmarkStart w:id="20" w:name="_Toc100218648"/>
      <w:r>
        <w:lastRenderedPageBreak/>
        <w:t xml:space="preserve">How are </w:t>
      </w:r>
      <w:r w:rsidR="001923A6" w:rsidRPr="001923A6">
        <w:t>Data Controllers and Data Processors</w:t>
      </w:r>
      <w:bookmarkEnd w:id="19"/>
      <w:r>
        <w:t xml:space="preserve"> defined</w:t>
      </w:r>
      <w:r w:rsidR="00187CB3">
        <w:t xml:space="preserve"> and why does this matter</w:t>
      </w:r>
      <w:r>
        <w:t>?</w:t>
      </w:r>
      <w:bookmarkEnd w:id="20"/>
    </w:p>
    <w:p w14:paraId="3553CA15" w14:textId="77777777" w:rsidR="00425E68" w:rsidRDefault="00425E68" w:rsidP="001923A6"/>
    <w:p w14:paraId="56FAFE0F" w14:textId="1941FA19" w:rsidR="001923A6" w:rsidRDefault="00187CB3" w:rsidP="001923A6">
      <w:r w:rsidRPr="001923A6">
        <w:t xml:space="preserve">The DPA draws a distinction between a ‘data controller’ and a ‘data processor’ to recognise that not all organisations involved in </w:t>
      </w:r>
      <w:r>
        <w:t xml:space="preserve">collecting, analysing and </w:t>
      </w:r>
      <w:r w:rsidRPr="001923A6">
        <w:t>processing of personal data have the same degree of responsibility.</w:t>
      </w:r>
      <w:r w:rsidR="005F291F">
        <w:t xml:space="preserve"> </w:t>
      </w:r>
      <w:r w:rsidR="00604D16">
        <w:t>All</w:t>
      </w:r>
      <w:r w:rsidR="005F291F">
        <w:t xml:space="preserve"> research </w:t>
      </w:r>
      <w:r w:rsidR="00604D16">
        <w:t xml:space="preserve">involving processing of personal data must </w:t>
      </w:r>
      <w:r w:rsidR="005F291F">
        <w:t xml:space="preserve">clearly define </w:t>
      </w:r>
      <w:r w:rsidR="00604D16">
        <w:t xml:space="preserve">who are the </w:t>
      </w:r>
      <w:r w:rsidR="005F291F">
        <w:t>data controller</w:t>
      </w:r>
      <w:r w:rsidR="00604D16">
        <w:t>s</w:t>
      </w:r>
      <w:r w:rsidR="005F291F">
        <w:t xml:space="preserve"> and processors prior to the </w:t>
      </w:r>
      <w:r w:rsidR="00604D16">
        <w:t>research</w:t>
      </w:r>
      <w:r w:rsidR="005F291F">
        <w:t xml:space="preserve"> commencing.</w:t>
      </w:r>
    </w:p>
    <w:p w14:paraId="13244828" w14:textId="77777777" w:rsidR="005B2CB4" w:rsidRDefault="005B2CB4" w:rsidP="001923A6"/>
    <w:p w14:paraId="48826450" w14:textId="6352049A" w:rsidR="001923A6" w:rsidRPr="001923A6" w:rsidRDefault="00A72055" w:rsidP="005B2CB4">
      <w:pPr>
        <w:pStyle w:val="Heading2"/>
      </w:pPr>
      <w:bookmarkStart w:id="21" w:name="_Toc92809970"/>
      <w:bookmarkStart w:id="22" w:name="_Toc100218649"/>
      <w:r>
        <w:t xml:space="preserve">2.1 </w:t>
      </w:r>
      <w:r w:rsidR="001923A6" w:rsidRPr="001923A6">
        <w:t>What is the difference between a data controller and a data processor?</w:t>
      </w:r>
      <w:bookmarkEnd w:id="21"/>
      <w:bookmarkEnd w:id="22"/>
    </w:p>
    <w:p w14:paraId="4D4F2A00" w14:textId="2EB7327E" w:rsidR="001923A6" w:rsidRPr="001923A6" w:rsidRDefault="001923A6" w:rsidP="001923A6">
      <w:pPr>
        <w:spacing w:line="360" w:lineRule="auto"/>
      </w:pPr>
      <w:r w:rsidRPr="001923A6">
        <w:t xml:space="preserve">It is the data controller that must exercise control over </w:t>
      </w:r>
      <w:r w:rsidR="00187CB3">
        <w:t xml:space="preserve">any processing of data </w:t>
      </w:r>
      <w:r w:rsidR="00187CB3" w:rsidRPr="001923A6">
        <w:t>and</w:t>
      </w:r>
      <w:r w:rsidR="00187CB3">
        <w:t xml:space="preserve"> is responsible for ensuring that </w:t>
      </w:r>
      <w:r w:rsidRPr="001923A6">
        <w:t xml:space="preserve"> </w:t>
      </w:r>
      <w:r w:rsidR="00187CB3">
        <w:t xml:space="preserve"> the GDPR is followed.</w:t>
      </w:r>
      <w:r w:rsidRPr="001923A6">
        <w:t xml:space="preserve"> </w:t>
      </w:r>
      <w:r w:rsidR="00B132A7">
        <w:t xml:space="preserve">Please note however, that a Data processor can be fined directly if they are not compliant with the GDPR. </w:t>
      </w:r>
    </w:p>
    <w:tbl>
      <w:tblPr>
        <w:tblStyle w:val="TableGrid"/>
        <w:tblW w:w="0" w:type="auto"/>
        <w:tblLook w:val="04A0" w:firstRow="1" w:lastRow="0" w:firstColumn="1" w:lastColumn="0" w:noHBand="0" w:noVBand="1"/>
      </w:tblPr>
      <w:tblGrid>
        <w:gridCol w:w="4506"/>
        <w:gridCol w:w="4510"/>
      </w:tblGrid>
      <w:tr w:rsidR="005B3705" w:rsidRPr="005B3705" w14:paraId="15A1A297" w14:textId="77777777" w:rsidTr="005B3705">
        <w:tc>
          <w:tcPr>
            <w:tcW w:w="4506" w:type="dxa"/>
            <w:tcBorders>
              <w:right w:val="nil"/>
            </w:tcBorders>
          </w:tcPr>
          <w:p w14:paraId="5ADB480D" w14:textId="1264A1A5" w:rsidR="00187CB3" w:rsidRPr="005B3705" w:rsidRDefault="0037645E" w:rsidP="001923A6">
            <w:pPr>
              <w:spacing w:line="360" w:lineRule="auto"/>
              <w:rPr>
                <w:b/>
                <w:bCs/>
              </w:rPr>
            </w:pPr>
            <w:r w:rsidRPr="005B3705">
              <w:rPr>
                <w:b/>
                <w:bCs/>
              </w:rPr>
              <w:t xml:space="preserve">Definitions taken from the </w:t>
            </w:r>
            <w:hyperlink r:id="rId26" w:history="1">
              <w:r w:rsidRPr="005B3705">
                <w:rPr>
                  <w:rStyle w:val="Hyperlink"/>
                  <w:b/>
                  <w:bCs/>
                </w:rPr>
                <w:t>ICO</w:t>
              </w:r>
            </w:hyperlink>
            <w:r w:rsidRPr="005B3705">
              <w:rPr>
                <w:b/>
                <w:bCs/>
              </w:rPr>
              <w:t xml:space="preserve"> website </w:t>
            </w:r>
          </w:p>
        </w:tc>
        <w:tc>
          <w:tcPr>
            <w:tcW w:w="4510" w:type="dxa"/>
            <w:tcBorders>
              <w:left w:val="nil"/>
            </w:tcBorders>
          </w:tcPr>
          <w:p w14:paraId="2967FBE8" w14:textId="77777777" w:rsidR="00187CB3" w:rsidRPr="005B3705" w:rsidRDefault="00187CB3" w:rsidP="001923A6">
            <w:pPr>
              <w:spacing w:line="360" w:lineRule="auto"/>
              <w:rPr>
                <w:b/>
                <w:bCs/>
              </w:rPr>
            </w:pPr>
          </w:p>
        </w:tc>
      </w:tr>
      <w:tr w:rsidR="001923A6" w:rsidRPr="001923A6" w14:paraId="6CA597DF" w14:textId="77777777" w:rsidTr="00425E68">
        <w:tc>
          <w:tcPr>
            <w:tcW w:w="4506" w:type="dxa"/>
          </w:tcPr>
          <w:p w14:paraId="710B3324" w14:textId="77777777" w:rsidR="001923A6" w:rsidRPr="001923A6" w:rsidRDefault="001923A6" w:rsidP="001923A6">
            <w:pPr>
              <w:spacing w:line="360" w:lineRule="auto"/>
            </w:pPr>
            <w:r w:rsidRPr="001923A6">
              <w:t>Data controller</w:t>
            </w:r>
          </w:p>
          <w:p w14:paraId="55B5D08E" w14:textId="77777777" w:rsidR="001923A6" w:rsidRPr="001923A6" w:rsidRDefault="001923A6" w:rsidP="001923A6">
            <w:pPr>
              <w:spacing w:line="360" w:lineRule="auto"/>
            </w:pPr>
          </w:p>
        </w:tc>
        <w:tc>
          <w:tcPr>
            <w:tcW w:w="4510" w:type="dxa"/>
          </w:tcPr>
          <w:p w14:paraId="3B0EC7C1" w14:textId="77777777" w:rsidR="001923A6" w:rsidRPr="001923A6" w:rsidRDefault="001923A6" w:rsidP="001923A6">
            <w:pPr>
              <w:spacing w:line="360" w:lineRule="auto"/>
            </w:pPr>
            <w:r w:rsidRPr="001923A6">
              <w:t>Means an organisation which (either alone or</w:t>
            </w:r>
          </w:p>
          <w:p w14:paraId="41120DBB" w14:textId="77777777" w:rsidR="001923A6" w:rsidRPr="001923A6" w:rsidRDefault="001923A6" w:rsidP="001923A6">
            <w:pPr>
              <w:spacing w:line="360" w:lineRule="auto"/>
            </w:pPr>
            <w:r w:rsidRPr="001923A6">
              <w:t>jointly or in common with another organisation) determines the purposes for which and the manner in which any personal data are, or are to be processed</w:t>
            </w:r>
          </w:p>
        </w:tc>
      </w:tr>
      <w:tr w:rsidR="001923A6" w:rsidRPr="001923A6" w14:paraId="43468077" w14:textId="77777777" w:rsidTr="00425E68">
        <w:tc>
          <w:tcPr>
            <w:tcW w:w="4506" w:type="dxa"/>
          </w:tcPr>
          <w:p w14:paraId="27C03728" w14:textId="77777777" w:rsidR="001923A6" w:rsidRPr="001923A6" w:rsidRDefault="001923A6" w:rsidP="001923A6">
            <w:pPr>
              <w:spacing w:line="360" w:lineRule="auto"/>
            </w:pPr>
            <w:r w:rsidRPr="001923A6">
              <w:t>Data processor</w:t>
            </w:r>
          </w:p>
          <w:p w14:paraId="1410B7CD" w14:textId="77777777" w:rsidR="001923A6" w:rsidRPr="001923A6" w:rsidRDefault="001923A6" w:rsidP="001923A6">
            <w:pPr>
              <w:spacing w:line="360" w:lineRule="auto"/>
            </w:pPr>
          </w:p>
        </w:tc>
        <w:tc>
          <w:tcPr>
            <w:tcW w:w="4510" w:type="dxa"/>
          </w:tcPr>
          <w:p w14:paraId="6067E4C6" w14:textId="77777777" w:rsidR="001923A6" w:rsidRPr="001923A6" w:rsidRDefault="001923A6" w:rsidP="001923A6">
            <w:pPr>
              <w:spacing w:line="360" w:lineRule="auto"/>
            </w:pPr>
            <w:r w:rsidRPr="001923A6">
              <w:t>In relation to personal data, means any</w:t>
            </w:r>
          </w:p>
          <w:p w14:paraId="4D3D49D6" w14:textId="1C73D152" w:rsidR="001923A6" w:rsidRPr="001923A6" w:rsidRDefault="001923A6" w:rsidP="001923A6">
            <w:pPr>
              <w:spacing w:line="360" w:lineRule="auto"/>
            </w:pPr>
            <w:r w:rsidRPr="001923A6">
              <w:t>organisation which</w:t>
            </w:r>
            <w:r w:rsidR="00AF18FC">
              <w:t xml:space="preserve"> </w:t>
            </w:r>
            <w:r w:rsidRPr="001923A6">
              <w:t>processes the data on behalf of the data controller.</w:t>
            </w:r>
            <w:r w:rsidR="00B132A7">
              <w:t xml:space="preserve"> </w:t>
            </w:r>
          </w:p>
        </w:tc>
      </w:tr>
      <w:tr w:rsidR="001923A6" w:rsidRPr="001923A6" w14:paraId="522A567E" w14:textId="77777777" w:rsidTr="00425E68">
        <w:tc>
          <w:tcPr>
            <w:tcW w:w="4506" w:type="dxa"/>
          </w:tcPr>
          <w:p w14:paraId="02BB3A63" w14:textId="77777777" w:rsidR="001923A6" w:rsidRPr="001923A6" w:rsidRDefault="001923A6" w:rsidP="001923A6">
            <w:pPr>
              <w:spacing w:line="360" w:lineRule="auto"/>
            </w:pPr>
            <w:r w:rsidRPr="001923A6">
              <w:t>The act of “processing”</w:t>
            </w:r>
          </w:p>
          <w:p w14:paraId="63BBA3AE" w14:textId="77777777" w:rsidR="001923A6" w:rsidRPr="001923A6" w:rsidRDefault="001923A6" w:rsidP="001923A6">
            <w:pPr>
              <w:spacing w:line="360" w:lineRule="auto"/>
            </w:pPr>
          </w:p>
        </w:tc>
        <w:tc>
          <w:tcPr>
            <w:tcW w:w="4510" w:type="dxa"/>
          </w:tcPr>
          <w:p w14:paraId="30834180" w14:textId="77777777" w:rsidR="001923A6" w:rsidRPr="001923A6" w:rsidRDefault="001923A6" w:rsidP="001923A6">
            <w:pPr>
              <w:spacing w:line="360" w:lineRule="auto"/>
            </w:pPr>
            <w:r w:rsidRPr="001923A6">
              <w:t>In relation to information or data means</w:t>
            </w:r>
          </w:p>
          <w:p w14:paraId="36749C93" w14:textId="77777777" w:rsidR="001923A6" w:rsidRPr="001923A6" w:rsidRDefault="001923A6" w:rsidP="001923A6">
            <w:pPr>
              <w:spacing w:line="360" w:lineRule="auto"/>
            </w:pPr>
            <w:r w:rsidRPr="001923A6">
              <w:t xml:space="preserve">obtaining, recording or holding the information or data or carrying out any operation or set of operations on the information or data, including </w:t>
            </w:r>
          </w:p>
          <w:p w14:paraId="32A77B69" w14:textId="77777777" w:rsidR="001923A6" w:rsidRPr="001923A6" w:rsidRDefault="001923A6" w:rsidP="001923A6">
            <w:pPr>
              <w:spacing w:line="360" w:lineRule="auto"/>
            </w:pPr>
            <w:r w:rsidRPr="001923A6">
              <w:t xml:space="preserve">a) organisation, adaptation or alteration of the information or data, </w:t>
            </w:r>
          </w:p>
          <w:p w14:paraId="5E3633F9" w14:textId="77777777" w:rsidR="001923A6" w:rsidRPr="001923A6" w:rsidRDefault="001923A6" w:rsidP="001923A6">
            <w:pPr>
              <w:spacing w:line="360" w:lineRule="auto"/>
            </w:pPr>
            <w:r w:rsidRPr="001923A6">
              <w:t xml:space="preserve">b) retrieval, consultation or use of the information or data, </w:t>
            </w:r>
          </w:p>
          <w:p w14:paraId="6074C693" w14:textId="77777777" w:rsidR="001923A6" w:rsidRPr="001923A6" w:rsidRDefault="001923A6" w:rsidP="001923A6">
            <w:pPr>
              <w:spacing w:line="360" w:lineRule="auto"/>
            </w:pPr>
            <w:r w:rsidRPr="001923A6">
              <w:t>c) disclosure of the information or data by transmission, dissemination or otherwise making available, or</w:t>
            </w:r>
          </w:p>
          <w:p w14:paraId="7AF2DD8D" w14:textId="77777777" w:rsidR="001923A6" w:rsidRPr="001923A6" w:rsidRDefault="001923A6" w:rsidP="001923A6">
            <w:pPr>
              <w:spacing w:line="360" w:lineRule="auto"/>
            </w:pPr>
            <w:r w:rsidRPr="001923A6">
              <w:lastRenderedPageBreak/>
              <w:t>d) alignment, combination, blocking, erasure or destruction of the information or data</w:t>
            </w:r>
          </w:p>
        </w:tc>
      </w:tr>
    </w:tbl>
    <w:p w14:paraId="3D450BBF" w14:textId="300AE565" w:rsidR="001923A6" w:rsidRDefault="001923A6" w:rsidP="001923A6">
      <w:pPr>
        <w:spacing w:line="360" w:lineRule="auto"/>
      </w:pPr>
    </w:p>
    <w:p w14:paraId="2D0F3134" w14:textId="65A80850" w:rsidR="00E80682" w:rsidRDefault="00E80682" w:rsidP="001923A6">
      <w:pPr>
        <w:spacing w:line="360" w:lineRule="auto"/>
      </w:pPr>
      <w:r>
        <w:t xml:space="preserve">The relevant </w:t>
      </w:r>
      <w:r w:rsidR="00656D95">
        <w:t xml:space="preserve">research </w:t>
      </w:r>
      <w:r>
        <w:t xml:space="preserve">study agreements will detail which organisations are considered Data Controllers and Data Processors. </w:t>
      </w:r>
    </w:p>
    <w:p w14:paraId="7A53C365" w14:textId="77777777" w:rsidR="005B2CB4" w:rsidRDefault="005B2CB4" w:rsidP="001923A6">
      <w:pPr>
        <w:spacing w:line="360" w:lineRule="auto"/>
      </w:pPr>
    </w:p>
    <w:p w14:paraId="1CE06E6A" w14:textId="6101D935" w:rsidR="001923A6" w:rsidRPr="001923A6" w:rsidRDefault="00A72055" w:rsidP="00557211">
      <w:pPr>
        <w:pStyle w:val="Heading2"/>
      </w:pPr>
      <w:bookmarkStart w:id="23" w:name="_Toc92809971"/>
      <w:bookmarkStart w:id="24" w:name="_Toc100218650"/>
      <w:r>
        <w:t xml:space="preserve">2.2 </w:t>
      </w:r>
      <w:r w:rsidR="001923A6" w:rsidRPr="001923A6">
        <w:t>Determining whether an organisation is a data controller or processor</w:t>
      </w:r>
      <w:bookmarkEnd w:id="23"/>
      <w:bookmarkEnd w:id="24"/>
    </w:p>
    <w:p w14:paraId="221394BD" w14:textId="7A2B44AC" w:rsidR="001923A6" w:rsidRPr="001923A6" w:rsidRDefault="001923A6" w:rsidP="001923A6">
      <w:pPr>
        <w:spacing w:line="360" w:lineRule="auto"/>
      </w:pPr>
      <w:r w:rsidRPr="00656D95">
        <w:t>The data controller</w:t>
      </w:r>
      <w:r w:rsidRPr="001923A6">
        <w:t xml:space="preserve"> determines the </w:t>
      </w:r>
      <w:r w:rsidRPr="001923A6">
        <w:rPr>
          <w:b/>
        </w:rPr>
        <w:t>purposes</w:t>
      </w:r>
      <w:r w:rsidRPr="001923A6">
        <w:t xml:space="preserve"> for which and the manner in which personal data is processed. It can do this either on its own or jointly with other organisations. </w:t>
      </w:r>
    </w:p>
    <w:p w14:paraId="643DDA2B" w14:textId="058A93F3" w:rsidR="001923A6" w:rsidRPr="001923A6" w:rsidRDefault="0067600B" w:rsidP="001923A6">
      <w:pPr>
        <w:spacing w:line="360" w:lineRule="auto"/>
      </w:pPr>
      <w:r>
        <w:t xml:space="preserve">According to the </w:t>
      </w:r>
      <w:hyperlink r:id="rId27" w:history="1">
        <w:r w:rsidRPr="0067600B">
          <w:rPr>
            <w:rStyle w:val="Hyperlink"/>
          </w:rPr>
          <w:t>ICO</w:t>
        </w:r>
      </w:hyperlink>
      <w:r>
        <w:t>, f</w:t>
      </w:r>
      <w:r w:rsidR="001923A6" w:rsidRPr="001923A6">
        <w:t xml:space="preserve">or an organisation to be a data controller, they need to be the organisation deciding: </w:t>
      </w:r>
    </w:p>
    <w:p w14:paraId="33E796B6" w14:textId="77777777" w:rsidR="001923A6" w:rsidRPr="001923A6" w:rsidRDefault="001923A6" w:rsidP="001923A6">
      <w:pPr>
        <w:numPr>
          <w:ilvl w:val="1"/>
          <w:numId w:val="2"/>
        </w:numPr>
        <w:spacing w:line="360" w:lineRule="auto"/>
        <w:contextualSpacing/>
      </w:pPr>
      <w:r w:rsidRPr="001923A6">
        <w:t>to collect the personal data in the first place and the legal basis for doing so;</w:t>
      </w:r>
    </w:p>
    <w:p w14:paraId="568D9DF5" w14:textId="77777777" w:rsidR="001923A6" w:rsidRPr="001923A6" w:rsidRDefault="001923A6" w:rsidP="001923A6">
      <w:pPr>
        <w:numPr>
          <w:ilvl w:val="1"/>
          <w:numId w:val="2"/>
        </w:numPr>
        <w:spacing w:line="360" w:lineRule="auto"/>
        <w:contextualSpacing/>
      </w:pPr>
      <w:r w:rsidRPr="001923A6">
        <w:t xml:space="preserve">which items of personal data to collect, i.e. the content of the data; </w:t>
      </w:r>
    </w:p>
    <w:p w14:paraId="11F191AE" w14:textId="77777777" w:rsidR="001923A6" w:rsidRPr="001923A6" w:rsidRDefault="001923A6" w:rsidP="001923A6">
      <w:pPr>
        <w:numPr>
          <w:ilvl w:val="1"/>
          <w:numId w:val="2"/>
        </w:numPr>
        <w:spacing w:line="360" w:lineRule="auto"/>
        <w:contextualSpacing/>
      </w:pPr>
      <w:r w:rsidRPr="001923A6">
        <w:t xml:space="preserve">the purpose or purposes the data are to be used for; </w:t>
      </w:r>
    </w:p>
    <w:p w14:paraId="7B6E733C" w14:textId="77777777" w:rsidR="001923A6" w:rsidRPr="001923A6" w:rsidRDefault="001923A6" w:rsidP="001923A6">
      <w:pPr>
        <w:numPr>
          <w:ilvl w:val="1"/>
          <w:numId w:val="2"/>
        </w:numPr>
        <w:spacing w:line="360" w:lineRule="auto"/>
        <w:contextualSpacing/>
      </w:pPr>
      <w:r w:rsidRPr="001923A6">
        <w:t xml:space="preserve">which individuals to collect data about; </w:t>
      </w:r>
    </w:p>
    <w:p w14:paraId="5747B962" w14:textId="77777777" w:rsidR="001923A6" w:rsidRPr="001923A6" w:rsidRDefault="001923A6" w:rsidP="001923A6">
      <w:pPr>
        <w:numPr>
          <w:ilvl w:val="1"/>
          <w:numId w:val="2"/>
        </w:numPr>
        <w:spacing w:line="360" w:lineRule="auto"/>
        <w:contextualSpacing/>
      </w:pPr>
      <w:r w:rsidRPr="001923A6">
        <w:t>whether to disclose the data, and if so, who to;</w:t>
      </w:r>
    </w:p>
    <w:p w14:paraId="759FD6B7" w14:textId="77777777" w:rsidR="001923A6" w:rsidRPr="001923A6" w:rsidRDefault="001923A6" w:rsidP="001923A6">
      <w:pPr>
        <w:numPr>
          <w:ilvl w:val="1"/>
          <w:numId w:val="2"/>
        </w:numPr>
        <w:spacing w:line="360" w:lineRule="auto"/>
        <w:contextualSpacing/>
      </w:pPr>
      <w:r w:rsidRPr="001923A6">
        <w:t>whether subject access and other individuals’ rights apply i.e. the application of exemptions; and</w:t>
      </w:r>
    </w:p>
    <w:p w14:paraId="0FFD1CD3" w14:textId="77777777" w:rsidR="001923A6" w:rsidRPr="001923A6" w:rsidRDefault="001923A6" w:rsidP="001923A6">
      <w:pPr>
        <w:numPr>
          <w:ilvl w:val="1"/>
          <w:numId w:val="2"/>
        </w:numPr>
        <w:spacing w:line="360" w:lineRule="auto"/>
        <w:contextualSpacing/>
      </w:pPr>
      <w:r w:rsidRPr="001923A6">
        <w:t xml:space="preserve"> how long to retain the data or whether to make non-routine amendments to the data.</w:t>
      </w:r>
    </w:p>
    <w:p w14:paraId="7C478551" w14:textId="12055389" w:rsidR="001923A6" w:rsidRPr="001923A6" w:rsidRDefault="001923A6" w:rsidP="001923A6">
      <w:pPr>
        <w:spacing w:line="360" w:lineRule="auto"/>
      </w:pPr>
      <w:r w:rsidRPr="001923A6">
        <w:t xml:space="preserve">The points mentioned above can be used to aid the decision on whether an organisation can be considered the data controller.  </w:t>
      </w:r>
      <w:r w:rsidR="00B132A7">
        <w:t xml:space="preserve">Please note that a Controller may process data but they are doing so under their own account and not at the direction of another organisation. Whereas a processor is doing so under the direction of a Controller. </w:t>
      </w:r>
    </w:p>
    <w:p w14:paraId="5ED27D3E" w14:textId="41780349" w:rsidR="001923A6" w:rsidRDefault="001923A6" w:rsidP="001923A6">
      <w:pPr>
        <w:spacing w:line="360" w:lineRule="auto"/>
      </w:pPr>
      <w:r w:rsidRPr="001923A6">
        <w:t xml:space="preserve">Please note that an organisation can be considered a data controller even if they do not hold the study link key or receive personal identifiable information. For example, for Commercial studies, the Commercial sponsor will be considered the data controller as they will determine the purposes for which and the </w:t>
      </w:r>
      <w:r w:rsidR="005B3705" w:rsidRPr="001923A6">
        <w:t>way</w:t>
      </w:r>
      <w:r w:rsidRPr="001923A6">
        <w:t xml:space="preserve"> personal data is processed and in </w:t>
      </w:r>
      <w:r w:rsidR="005B3705" w:rsidRPr="001923A6">
        <w:t>most</w:t>
      </w:r>
      <w:r w:rsidRPr="001923A6">
        <w:t xml:space="preserve"> cases, they will not be receiving identifiable information or hold the study key. </w:t>
      </w:r>
    </w:p>
    <w:p w14:paraId="3422F152" w14:textId="77777777" w:rsidR="005B2CB4" w:rsidRPr="001923A6" w:rsidRDefault="005B2CB4" w:rsidP="001923A6">
      <w:pPr>
        <w:spacing w:line="360" w:lineRule="auto"/>
      </w:pPr>
    </w:p>
    <w:p w14:paraId="4C1BA770" w14:textId="19D6E1F2" w:rsidR="001923A6" w:rsidRPr="000204CA" w:rsidRDefault="00A72055" w:rsidP="00557211">
      <w:pPr>
        <w:pStyle w:val="Heading2"/>
      </w:pPr>
      <w:bookmarkStart w:id="25" w:name="_Toc92809972"/>
      <w:bookmarkStart w:id="26" w:name="_Toc100218651"/>
      <w:r w:rsidRPr="000204CA">
        <w:lastRenderedPageBreak/>
        <w:t xml:space="preserve">2.3 </w:t>
      </w:r>
      <w:r w:rsidR="001923A6" w:rsidRPr="000204CA">
        <w:t>What are joint controllers?</w:t>
      </w:r>
      <w:bookmarkEnd w:id="25"/>
      <w:bookmarkEnd w:id="26"/>
    </w:p>
    <w:p w14:paraId="475B7F35" w14:textId="7EE50688" w:rsidR="00656D95" w:rsidRPr="000204CA" w:rsidRDefault="00656D95" w:rsidP="00656D95">
      <w:pPr>
        <w:spacing w:line="360" w:lineRule="auto"/>
      </w:pPr>
      <w:r w:rsidRPr="000204CA">
        <w:t>The data controller exercises overall control over the ‘</w:t>
      </w:r>
      <w:r w:rsidRPr="000204CA">
        <w:rPr>
          <w:b/>
        </w:rPr>
        <w:t>why’ and the ‘how’</w:t>
      </w:r>
      <w:r w:rsidRPr="000204CA">
        <w:t xml:space="preserve"> of a data processing activity. The definition provides flexibility and allows more than one organisation to be classed as a controller. For example</w:t>
      </w:r>
      <w:r w:rsidR="005B3705" w:rsidRPr="000204CA">
        <w:t>,</w:t>
      </w:r>
      <w:r w:rsidRPr="000204CA">
        <w:t xml:space="preserve">  organisation A might  mainly, but not exclusively, control the </w:t>
      </w:r>
      <w:r w:rsidRPr="000204CA">
        <w:rPr>
          <w:i/>
        </w:rPr>
        <w:t>purpose</w:t>
      </w:r>
      <w:r w:rsidRPr="000204CA">
        <w:t xml:space="preserve"> of the processing with organisation B. Organisation B might then have some say in determining the purpose whilst being mainly responsible for controlling the </w:t>
      </w:r>
      <w:r w:rsidRPr="000204CA">
        <w:rPr>
          <w:i/>
        </w:rPr>
        <w:t>manner</w:t>
      </w:r>
      <w:r w:rsidRPr="000204CA">
        <w:t xml:space="preserve"> of the processing. </w:t>
      </w:r>
    </w:p>
    <w:p w14:paraId="28078BD0" w14:textId="3A8CFFC5" w:rsidR="00BF2DC1" w:rsidRPr="000204CA" w:rsidRDefault="00BF2DC1" w:rsidP="00656D95">
      <w:pPr>
        <w:spacing w:line="360" w:lineRule="auto"/>
      </w:pPr>
      <w:r w:rsidRPr="000204CA">
        <w:t>These organisations could be classed as joint controllers if:</w:t>
      </w:r>
    </w:p>
    <w:p w14:paraId="1FE5BD86" w14:textId="3F63B73B" w:rsidR="00BF2DC1" w:rsidRPr="000204CA" w:rsidRDefault="00BF2DC1" w:rsidP="00BF2DC1">
      <w:pPr>
        <w:pStyle w:val="ListParagraph"/>
        <w:numPr>
          <w:ilvl w:val="0"/>
          <w:numId w:val="8"/>
        </w:numPr>
        <w:spacing w:line="360" w:lineRule="auto"/>
      </w:pPr>
      <w:r w:rsidRPr="000204CA">
        <w:t>They have a common objective regarding the processing</w:t>
      </w:r>
    </w:p>
    <w:p w14:paraId="7D9A05DF" w14:textId="1D547DB5" w:rsidR="00BF2DC1" w:rsidRPr="000204CA" w:rsidRDefault="00BF2DC1" w:rsidP="00BF2DC1">
      <w:pPr>
        <w:pStyle w:val="ListParagraph"/>
        <w:numPr>
          <w:ilvl w:val="0"/>
          <w:numId w:val="8"/>
        </w:numPr>
        <w:spacing w:line="360" w:lineRule="auto"/>
      </w:pPr>
      <w:r w:rsidRPr="000204CA">
        <w:t>They are processing data for the same purpose</w:t>
      </w:r>
    </w:p>
    <w:p w14:paraId="5041CF9C" w14:textId="7C60836B" w:rsidR="00BF2DC1" w:rsidRPr="000204CA" w:rsidRDefault="0084286C" w:rsidP="00BF2DC1">
      <w:pPr>
        <w:pStyle w:val="ListParagraph"/>
        <w:numPr>
          <w:ilvl w:val="0"/>
          <w:numId w:val="8"/>
        </w:numPr>
        <w:spacing w:line="360" w:lineRule="auto"/>
      </w:pPr>
      <w:r w:rsidRPr="000204CA">
        <w:t>They are using the same set of personal data</w:t>
      </w:r>
    </w:p>
    <w:p w14:paraId="1D9E9D14" w14:textId="4E46B9D7" w:rsidR="0084286C" w:rsidRPr="000204CA" w:rsidRDefault="0084286C" w:rsidP="00BF2DC1">
      <w:pPr>
        <w:pStyle w:val="ListParagraph"/>
        <w:numPr>
          <w:ilvl w:val="0"/>
          <w:numId w:val="8"/>
        </w:numPr>
        <w:spacing w:line="360" w:lineRule="auto"/>
      </w:pPr>
      <w:r w:rsidRPr="000204CA">
        <w:t>They designed the process together</w:t>
      </w:r>
    </w:p>
    <w:p w14:paraId="0A544F57" w14:textId="0418F3C2" w:rsidR="0084286C" w:rsidRPr="000204CA" w:rsidRDefault="0084286C" w:rsidP="000204CA">
      <w:pPr>
        <w:pStyle w:val="ListParagraph"/>
        <w:numPr>
          <w:ilvl w:val="0"/>
          <w:numId w:val="8"/>
        </w:numPr>
        <w:spacing w:line="360" w:lineRule="auto"/>
      </w:pPr>
      <w:r w:rsidRPr="000204CA">
        <w:t>They have common information management rules</w:t>
      </w:r>
    </w:p>
    <w:p w14:paraId="1FEF25D9" w14:textId="64A9FD17" w:rsidR="001923A6" w:rsidRPr="000204CA" w:rsidRDefault="001923A6" w:rsidP="001923A6">
      <w:pPr>
        <w:spacing w:line="360" w:lineRule="auto"/>
      </w:pPr>
      <w:r w:rsidRPr="000204CA">
        <w:rPr>
          <w:u w:val="single"/>
        </w:rPr>
        <w:t xml:space="preserve">Obligations of </w:t>
      </w:r>
      <w:r w:rsidR="005837F8" w:rsidRPr="000204CA">
        <w:rPr>
          <w:u w:val="single"/>
        </w:rPr>
        <w:t xml:space="preserve">joint </w:t>
      </w:r>
      <w:r w:rsidRPr="000204CA">
        <w:rPr>
          <w:u w:val="single"/>
        </w:rPr>
        <w:t>controllers</w:t>
      </w:r>
      <w:r w:rsidRPr="000204CA">
        <w:t>: The organisation</w:t>
      </w:r>
      <w:r w:rsidR="005837F8" w:rsidRPr="000204CA">
        <w:t>s</w:t>
      </w:r>
      <w:r w:rsidRPr="000204CA">
        <w:t xml:space="preserve"> will need to decide  who will carry out which controller obligation under the  </w:t>
      </w:r>
      <w:hyperlink r:id="rId28" w:history="1">
        <w:r w:rsidRPr="000204CA">
          <w:rPr>
            <w:color w:val="0000FF" w:themeColor="hyperlink"/>
            <w:u w:val="single"/>
          </w:rPr>
          <w:t>GDPR</w:t>
        </w:r>
      </w:hyperlink>
      <w:r w:rsidRPr="000204CA">
        <w:t>. However, regardless of those arrangements, each controller remains responsible for complying with all the obligations of controllers under the GDPR.</w:t>
      </w:r>
    </w:p>
    <w:p w14:paraId="348BACFB" w14:textId="63944A66" w:rsidR="001923A6" w:rsidRDefault="001923A6" w:rsidP="001923A6">
      <w:pPr>
        <w:spacing w:line="360" w:lineRule="auto"/>
      </w:pPr>
      <w:r w:rsidRPr="000204CA">
        <w:rPr>
          <w:u w:val="single"/>
        </w:rPr>
        <w:t>Individuals’ rights</w:t>
      </w:r>
      <w:r w:rsidRPr="000204CA">
        <w:t>: In particular, the organisation</w:t>
      </w:r>
      <w:r w:rsidR="005837F8" w:rsidRPr="000204CA">
        <w:t>s</w:t>
      </w:r>
      <w:r w:rsidRPr="000204CA">
        <w:t xml:space="preserve"> must decide (and be transparent about) how they will comply with transparency obligations and individuals’ rights. The organisation may choose to specify a central point of contact for individuals. However, individuals must remain able to exercise their rights against each controller.</w:t>
      </w:r>
    </w:p>
    <w:p w14:paraId="4AF72111" w14:textId="77777777" w:rsidR="005B2CB4" w:rsidRDefault="005B2CB4" w:rsidP="001923A6">
      <w:pPr>
        <w:spacing w:line="360" w:lineRule="auto"/>
      </w:pPr>
    </w:p>
    <w:p w14:paraId="6D77E708" w14:textId="51666CF5" w:rsidR="001923A6" w:rsidRPr="001923A6" w:rsidRDefault="00A72055" w:rsidP="00557211">
      <w:pPr>
        <w:pStyle w:val="Heading2"/>
      </w:pPr>
      <w:bookmarkStart w:id="27" w:name="_Toc92809973"/>
      <w:bookmarkStart w:id="28" w:name="_Toc100218652"/>
      <w:r>
        <w:t xml:space="preserve">2.4 </w:t>
      </w:r>
      <w:r w:rsidR="001923A6" w:rsidRPr="001923A6">
        <w:t>Can a joint controller be held liable for non-compliance?</w:t>
      </w:r>
      <w:bookmarkEnd w:id="27"/>
      <w:bookmarkEnd w:id="28"/>
    </w:p>
    <w:p w14:paraId="5AE59C3A" w14:textId="77777777" w:rsidR="001923A6" w:rsidRPr="001923A6" w:rsidRDefault="001923A6" w:rsidP="001923A6">
      <w:pPr>
        <w:spacing w:line="360" w:lineRule="auto"/>
      </w:pPr>
      <w:r w:rsidRPr="001923A6">
        <w:t>Yes. Individuals can seek compensation from joint controllers in exactly the same way as from any sole controller. Each joint controller will be liable for the entire damage caused by the processing, unless it can prove it is not in any way responsible for the event giving rise to the damage. The arrangement made between controllers is irrelevant for these purposes.</w:t>
      </w:r>
    </w:p>
    <w:p w14:paraId="35A74A04" w14:textId="77777777" w:rsidR="001923A6" w:rsidRPr="001923A6" w:rsidRDefault="001923A6" w:rsidP="001923A6">
      <w:pPr>
        <w:spacing w:line="360" w:lineRule="auto"/>
      </w:pPr>
      <w:r w:rsidRPr="001923A6">
        <w:t>If as a joint controller you have had to pay compensation to an individual but were not wholly responsible for the damage, you may be able to claim back from another controller or processor the share of the compensation for which they were liable.</w:t>
      </w:r>
    </w:p>
    <w:p w14:paraId="6DCF5956" w14:textId="1AFFEC76" w:rsidR="001923A6" w:rsidRDefault="001923A6" w:rsidP="001923A6">
      <w:pPr>
        <w:spacing w:line="360" w:lineRule="auto"/>
      </w:pPr>
      <w:r w:rsidRPr="001923A6">
        <w:lastRenderedPageBreak/>
        <w:t>In addition, joint controllers are each fully accountable to supervisory authorities (such as the ICO) for failure to comply with their responsibilities.</w:t>
      </w:r>
      <w:r w:rsidR="00793FFE">
        <w:t xml:space="preserve"> Further information can be found on the </w:t>
      </w:r>
      <w:hyperlink r:id="rId29" w:anchor=":~:text=against%20each%20controller.-,Can%20a%20joint%20controller%20be%20held%20liable%20for%20non%2Dcompliance,Yes.&amp;text=Each%20joint%20controller%20will%20be,is%20irrelevant%20for%20these%20purposes." w:history="1">
        <w:r w:rsidR="00793FFE" w:rsidRPr="00793FFE">
          <w:rPr>
            <w:rStyle w:val="Hyperlink"/>
          </w:rPr>
          <w:t>ICO</w:t>
        </w:r>
      </w:hyperlink>
      <w:r w:rsidR="00793FFE">
        <w:t xml:space="preserve"> website. </w:t>
      </w:r>
    </w:p>
    <w:p w14:paraId="6FA00DFF" w14:textId="77777777" w:rsidR="00B0748C" w:rsidRPr="001923A6" w:rsidRDefault="00B0748C" w:rsidP="001923A6">
      <w:pPr>
        <w:spacing w:line="360" w:lineRule="auto"/>
      </w:pPr>
    </w:p>
    <w:p w14:paraId="7C6639DA" w14:textId="7230E084" w:rsidR="001923A6" w:rsidRPr="001923A6" w:rsidRDefault="00A72055" w:rsidP="00A72055">
      <w:pPr>
        <w:pStyle w:val="Heading2"/>
      </w:pPr>
      <w:bookmarkStart w:id="29" w:name="_Toc92809974"/>
      <w:bookmarkStart w:id="30" w:name="_Toc100218653"/>
      <w:r>
        <w:t xml:space="preserve">2.5 </w:t>
      </w:r>
      <w:r w:rsidR="001923A6" w:rsidRPr="001923A6">
        <w:t>Can an organisation be a data controller and a data processor as well?</w:t>
      </w:r>
      <w:bookmarkEnd w:id="29"/>
      <w:bookmarkEnd w:id="30"/>
    </w:p>
    <w:p w14:paraId="6EB78C00" w14:textId="42E4E4EE" w:rsidR="001923A6" w:rsidRPr="001923A6" w:rsidRDefault="001923A6" w:rsidP="001923A6">
      <w:pPr>
        <w:spacing w:line="360" w:lineRule="auto"/>
      </w:pPr>
      <w:r w:rsidRPr="001923A6">
        <w:t xml:space="preserve">An organisation can be a controller and a processor of the same Personal Data, but they must be different Processing Activities (i.e. you are controller for one Processing Activity, because you are directing the purposes of the processing, and you are processor for another Processing Activity, because someone else is directing your use of the Personal Data). </w:t>
      </w:r>
      <w:r w:rsidR="009578ED">
        <w:t xml:space="preserve">A controller may also process data but if they are directing the activity that would not make them a processor. </w:t>
      </w:r>
      <w:r w:rsidRPr="001923A6">
        <w:t xml:space="preserve">Further information can be found on the ICO </w:t>
      </w:r>
      <w:hyperlink r:id="rId30" w:anchor="4" w:history="1">
        <w:r w:rsidRPr="001923A6">
          <w:rPr>
            <w:color w:val="0000FF" w:themeColor="hyperlink"/>
            <w:u w:val="single"/>
          </w:rPr>
          <w:t>website</w:t>
        </w:r>
      </w:hyperlink>
      <w:r w:rsidRPr="001923A6">
        <w:t>.</w:t>
      </w:r>
    </w:p>
    <w:p w14:paraId="1282DC35" w14:textId="68F66661" w:rsidR="001923A6" w:rsidRPr="001923A6" w:rsidRDefault="001923A6" w:rsidP="001923A6">
      <w:pPr>
        <w:spacing w:line="360" w:lineRule="auto"/>
      </w:pPr>
      <w:r w:rsidRPr="001923A6">
        <w:rPr>
          <w:i/>
        </w:rPr>
        <w:t>For example</w:t>
      </w:r>
      <w:r w:rsidRPr="001923A6">
        <w:t xml:space="preserve">: </w:t>
      </w:r>
      <w:r w:rsidR="005B3705" w:rsidRPr="001923A6">
        <w:t>An</w:t>
      </w:r>
      <w:r w:rsidRPr="001923A6">
        <w:t xml:space="preserve"> NHS Trust is the Sponsor of the study (data controller). The Sponsor is working with a University Clinical Trials Unit (CTU) to manage the study on their behalf,</w:t>
      </w:r>
      <w:r w:rsidR="00E80682">
        <w:t xml:space="preserve"> t</w:t>
      </w:r>
      <w:r w:rsidRPr="001923A6">
        <w:t xml:space="preserve">he </w:t>
      </w:r>
      <w:r w:rsidR="005837F8">
        <w:t xml:space="preserve">University </w:t>
      </w:r>
      <w:r w:rsidRPr="001923A6">
        <w:t>CTU will very likely be acting as a data controller for the study duration. Once the study has finished, the CTU might still hold the study data, for example in a database (</w:t>
      </w:r>
      <w:proofErr w:type="spellStart"/>
      <w:r w:rsidRPr="001923A6">
        <w:t>e.g</w:t>
      </w:r>
      <w:proofErr w:type="spellEnd"/>
      <w:r w:rsidRPr="001923A6">
        <w:t xml:space="preserve"> REDCAP), therefore, in this instance the CTU would also act as the data processor as the data controller (Sponsor) will confirm how they process the data. </w:t>
      </w:r>
      <w:r w:rsidR="00E80682">
        <w:t xml:space="preserve">Please note that this is a suggested example and the decision </w:t>
      </w:r>
      <w:r w:rsidR="005B3705">
        <w:t>about which organisation</w:t>
      </w:r>
      <w:r w:rsidR="00E80682">
        <w:t xml:space="preserve"> will be </w:t>
      </w:r>
      <w:r w:rsidR="005B3705">
        <w:t>act as</w:t>
      </w:r>
      <w:r w:rsidR="00E80682">
        <w:t xml:space="preserve"> a Data Controller/Processor will need to be reviewed for each trial as </w:t>
      </w:r>
      <w:r w:rsidR="005837F8">
        <w:t xml:space="preserve">the activities being carried out may differ, and the University </w:t>
      </w:r>
      <w:r w:rsidR="00E80682">
        <w:t xml:space="preserve">CTU may not act as a Data Controller for all studies. </w:t>
      </w:r>
    </w:p>
    <w:p w14:paraId="414688A3" w14:textId="77777777" w:rsidR="001923A6" w:rsidRPr="001923A6" w:rsidRDefault="001923A6" w:rsidP="001923A6">
      <w:pPr>
        <w:spacing w:line="360" w:lineRule="auto"/>
      </w:pPr>
    </w:p>
    <w:p w14:paraId="49F4B593" w14:textId="09C9FC2B" w:rsidR="001923A6" w:rsidRPr="001923A6" w:rsidRDefault="00A72055" w:rsidP="00DC1D25">
      <w:pPr>
        <w:pStyle w:val="Heading2"/>
      </w:pPr>
      <w:bookmarkStart w:id="31" w:name="_Toc92809975"/>
      <w:bookmarkStart w:id="32" w:name="_Toc100218654"/>
      <w:r>
        <w:t xml:space="preserve">2.6 </w:t>
      </w:r>
      <w:r w:rsidR="001923A6" w:rsidRPr="001923A6">
        <w:t>If an organisation is sole processor and there are two or more joint controllers who does the processor take instructions from?</w:t>
      </w:r>
      <w:bookmarkEnd w:id="31"/>
      <w:bookmarkEnd w:id="32"/>
    </w:p>
    <w:p w14:paraId="678F515A" w14:textId="7162793F" w:rsidR="001923A6" w:rsidRPr="001923A6" w:rsidRDefault="001923A6" w:rsidP="001923A6">
      <w:pPr>
        <w:spacing w:line="360" w:lineRule="auto"/>
      </w:pPr>
      <w:r w:rsidRPr="001923A6">
        <w:t xml:space="preserve">Where there is a joint controller relationship, </w:t>
      </w:r>
      <w:r w:rsidR="005837F8">
        <w:t>a</w:t>
      </w:r>
      <w:r w:rsidRPr="001923A6">
        <w:t xml:space="preserve"> Data Sharing Agreement (DSA) will need to clearly set out each controller's roles and responsibilities, especially in relation to time-sensitive requests. </w:t>
      </w:r>
      <w:r w:rsidR="00184D48">
        <w:t xml:space="preserve">Please refer to </w:t>
      </w:r>
      <w:r w:rsidR="00184D48" w:rsidRPr="00710187">
        <w:t xml:space="preserve">section </w:t>
      </w:r>
      <w:r w:rsidR="009578ED" w:rsidRPr="00710187">
        <w:t>3.2</w:t>
      </w:r>
      <w:r w:rsidR="00184D48">
        <w:t xml:space="preserve"> for further information about DSAs. </w:t>
      </w:r>
    </w:p>
    <w:p w14:paraId="01EB8588" w14:textId="4262EE93" w:rsidR="001923A6" w:rsidRDefault="001923A6" w:rsidP="001923A6">
      <w:pPr>
        <w:spacing w:line="360" w:lineRule="auto"/>
      </w:pPr>
    </w:p>
    <w:p w14:paraId="68675238" w14:textId="0F7B623B" w:rsidR="005B2CB4" w:rsidRDefault="005B2CB4" w:rsidP="001923A6">
      <w:pPr>
        <w:spacing w:line="360" w:lineRule="auto"/>
      </w:pPr>
    </w:p>
    <w:p w14:paraId="1314A6DC" w14:textId="1C013B0C" w:rsidR="005B2CB4" w:rsidRDefault="005B2CB4" w:rsidP="001923A6">
      <w:pPr>
        <w:spacing w:line="360" w:lineRule="auto"/>
      </w:pPr>
    </w:p>
    <w:p w14:paraId="7642FDAB" w14:textId="5F7B1DEE" w:rsidR="005B2CB4" w:rsidRDefault="005B2CB4" w:rsidP="001923A6">
      <w:pPr>
        <w:spacing w:line="360" w:lineRule="auto"/>
      </w:pPr>
    </w:p>
    <w:p w14:paraId="08E7A079" w14:textId="77777777" w:rsidR="00E345DC" w:rsidRPr="001A30D3" w:rsidRDefault="00E345DC" w:rsidP="00F068E8">
      <w:pPr>
        <w:pStyle w:val="Heading1"/>
        <w:numPr>
          <w:ilvl w:val="0"/>
          <w:numId w:val="5"/>
        </w:numPr>
      </w:pPr>
      <w:bookmarkStart w:id="33" w:name="_Toc100218655"/>
      <w:bookmarkStart w:id="34" w:name="_Toc92809977"/>
      <w:r w:rsidRPr="001A30D3">
        <w:lastRenderedPageBreak/>
        <w:t>What agreements or other documents are necessary when personal data is being processed?</w:t>
      </w:r>
      <w:bookmarkEnd w:id="33"/>
    </w:p>
    <w:p w14:paraId="0E471BD4" w14:textId="77777777" w:rsidR="0067600B" w:rsidRDefault="0067600B" w:rsidP="0067600B">
      <w:pPr>
        <w:pStyle w:val="Heading2"/>
        <w:rPr>
          <w:highlight w:val="yellow"/>
        </w:rPr>
      </w:pPr>
    </w:p>
    <w:p w14:paraId="436E6B80" w14:textId="1C3D4B5F" w:rsidR="001923A6" w:rsidRPr="0067600B" w:rsidRDefault="0067600B" w:rsidP="0067600B">
      <w:pPr>
        <w:pStyle w:val="Heading2"/>
      </w:pPr>
      <w:bookmarkStart w:id="35" w:name="_Toc100218656"/>
      <w:r w:rsidRPr="005B3705">
        <w:t xml:space="preserve">3.1 </w:t>
      </w:r>
      <w:r w:rsidR="001923A6" w:rsidRPr="005B3705">
        <w:t>Data Protection Impact Assessments (DPIAs)</w:t>
      </w:r>
      <w:bookmarkEnd w:id="35"/>
      <w:r w:rsidR="001923A6" w:rsidRPr="0067600B">
        <w:t xml:space="preserve"> </w:t>
      </w:r>
      <w:bookmarkEnd w:id="34"/>
    </w:p>
    <w:p w14:paraId="778C8520" w14:textId="77777777" w:rsidR="005B3705" w:rsidRPr="00A9542D" w:rsidRDefault="005B3705" w:rsidP="005B3705">
      <w:pPr>
        <w:spacing w:line="360" w:lineRule="auto"/>
      </w:pPr>
      <w:r w:rsidRPr="00A9542D">
        <w:t xml:space="preserve">In accordance with the </w:t>
      </w:r>
      <w:hyperlink r:id="rId31" w:history="1">
        <w:r w:rsidRPr="00A9542D">
          <w:rPr>
            <w:color w:val="0000FF" w:themeColor="hyperlink"/>
            <w:u w:val="single"/>
          </w:rPr>
          <w:t>ICO</w:t>
        </w:r>
      </w:hyperlink>
      <w:r w:rsidRPr="00A9542D">
        <w:t>, a DPIA is a process designed to help you systematically analyse, identify, and minimise the data protection risks of a project or plan. It is a key part of your accountability obligations under the UK GDPR, and when done properly helps you assess and demonstrate how you comply with all of your data protection obligations. DPIAs are designed to be a flexible and scalable tool that you can apply to a wide range of sectors and projects.</w:t>
      </w:r>
    </w:p>
    <w:p w14:paraId="64DC1B1A" w14:textId="363F12D1" w:rsidR="005B3705" w:rsidRPr="00A9542D" w:rsidRDefault="005B3705" w:rsidP="005B3705">
      <w:pPr>
        <w:spacing w:line="360" w:lineRule="auto"/>
      </w:pPr>
      <w:r w:rsidRPr="00A9542D">
        <w:t>For UHBW sponsored studies, the Information Governance team (IG) have agreed that, if the research project has been through the HRA Approval process, a separate DPIA does not need to be completed. If</w:t>
      </w:r>
      <w:r>
        <w:t>,</w:t>
      </w:r>
      <w:r w:rsidRPr="00A9542D">
        <w:t xml:space="preserve"> however, identifiable information needs to be sent to a country outside the EU/EEA, a DPIA may need to be completed. The R&amp;</w:t>
      </w:r>
      <w:r w:rsidR="00BF1F1F">
        <w:t>D</w:t>
      </w:r>
      <w:r w:rsidRPr="00A9542D">
        <w:t>/IG UHBW teams will advise the research team whether this is required. Participating NHS organisations are not responsible for the DPIA of the processing activities that they will undertake on behalf of research Sponsors.</w:t>
      </w:r>
      <w:r w:rsidR="008D71D4">
        <w:t xml:space="preserve">  It is the sponsor’s responsibility to complete the DPIA for data processing.</w:t>
      </w:r>
    </w:p>
    <w:p w14:paraId="6B08A5A9" w14:textId="541E3A16" w:rsidR="005B3705" w:rsidRPr="00A9542D" w:rsidRDefault="005B3705" w:rsidP="005B3705">
      <w:pPr>
        <w:spacing w:line="360" w:lineRule="auto"/>
      </w:pPr>
      <w:r w:rsidRPr="00A9542D">
        <w:t xml:space="preserve">For </w:t>
      </w:r>
      <w:r w:rsidR="008D71D4">
        <w:t xml:space="preserve">research </w:t>
      </w:r>
      <w:r>
        <w:t>t</w:t>
      </w:r>
      <w:r w:rsidRPr="00A9542D">
        <w:t xml:space="preserve">issue banks and </w:t>
      </w:r>
      <w:r w:rsidR="008D71D4">
        <w:t>r</w:t>
      </w:r>
      <w:r w:rsidR="008D71D4" w:rsidRPr="00A9542D">
        <w:t xml:space="preserve">esearch </w:t>
      </w:r>
      <w:r w:rsidRPr="00A9542D">
        <w:t xml:space="preserve">database studies that will not be reviewed by the HRA Approval team and where REC review is optional, a DPIA will need to be completed to ensure that the study complies with the relevant legislations. </w:t>
      </w:r>
    </w:p>
    <w:p w14:paraId="45C82FD7" w14:textId="6EE2692B" w:rsidR="005B3705" w:rsidRPr="00A9542D" w:rsidRDefault="005B3705" w:rsidP="005B3705">
      <w:pPr>
        <w:spacing w:line="360" w:lineRule="auto"/>
      </w:pPr>
      <w:r w:rsidRPr="00451869">
        <w:rPr>
          <w:b/>
          <w:bCs/>
        </w:rPr>
        <w:t>For projects that are not classed as research</w:t>
      </w:r>
      <w:r w:rsidRPr="00A9542D">
        <w:t xml:space="preserve">, the IG team has advised </w:t>
      </w:r>
      <w:r w:rsidR="00CF4DDE">
        <w:t>that</w:t>
      </w:r>
      <w:r w:rsidR="00CF4DDE" w:rsidRPr="00A9542D">
        <w:t xml:space="preserve"> </w:t>
      </w:r>
      <w:r w:rsidRPr="00A9542D">
        <w:t xml:space="preserve">the </w:t>
      </w:r>
      <w:r w:rsidR="00AE5E7B">
        <w:t>project lead</w:t>
      </w:r>
      <w:r w:rsidRPr="00A9542D">
        <w:t xml:space="preserve"> </w:t>
      </w:r>
      <w:r w:rsidR="00CF4DDE">
        <w:t>should</w:t>
      </w:r>
      <w:r w:rsidR="00CF4DDE" w:rsidRPr="00A9542D">
        <w:t xml:space="preserve"> </w:t>
      </w:r>
      <w:r w:rsidRPr="00A9542D">
        <w:t>consider completing a DPIA to ensure that the team compl</w:t>
      </w:r>
      <w:r w:rsidR="00CF4DDE">
        <w:t>ies</w:t>
      </w:r>
      <w:r w:rsidRPr="00A9542D">
        <w:t xml:space="preserve"> with the GDPR. If you would like advice on whether a DPIA needs to be completed, please contact the IG team (</w:t>
      </w:r>
      <w:hyperlink r:id="rId32" w:history="1">
        <w:r w:rsidRPr="00A9542D">
          <w:rPr>
            <w:color w:val="0000FF" w:themeColor="hyperlink"/>
            <w:u w:val="single"/>
          </w:rPr>
          <w:t>InformationGovernance@uhbw.nhs.uk</w:t>
        </w:r>
      </w:hyperlink>
      <w:r w:rsidRPr="00A9542D">
        <w:t xml:space="preserve">).  If a DPIA is required, for audits please send a copy to the IG team and </w:t>
      </w:r>
      <w:r w:rsidR="00266D0C">
        <w:t xml:space="preserve">relevant Clinical Audit contact at UHBW, see </w:t>
      </w:r>
      <w:r w:rsidR="00266D0C" w:rsidRPr="00266D0C">
        <w:t>http://www.uhbristol.nhs.uk/for-clinicians/clinicalaudit/</w:t>
      </w:r>
    </w:p>
    <w:p w14:paraId="2BE0373B" w14:textId="01DFF494" w:rsidR="005B3705" w:rsidRPr="00A9542D" w:rsidRDefault="005B3705" w:rsidP="005B3705">
      <w:pPr>
        <w:spacing w:line="360" w:lineRule="auto"/>
      </w:pPr>
      <w:r w:rsidRPr="00A9542D">
        <w:t xml:space="preserve">For lower </w:t>
      </w:r>
      <w:r w:rsidR="00AD43C0">
        <w:t xml:space="preserve">and moderate </w:t>
      </w:r>
      <w:r w:rsidRPr="00A9542D">
        <w:t>risk projects, the DPIA can be signed by the IG team.</w:t>
      </w:r>
      <w:r w:rsidR="00CF4DDE">
        <w:t xml:space="preserve">  </w:t>
      </w:r>
    </w:p>
    <w:p w14:paraId="29C32635" w14:textId="02736AFF" w:rsidR="005B3705" w:rsidRPr="00A9542D" w:rsidRDefault="005B3705" w:rsidP="005B3705">
      <w:pPr>
        <w:spacing w:line="360" w:lineRule="auto"/>
      </w:pPr>
      <w:r w:rsidRPr="00A9542D">
        <w:t xml:space="preserve">For high-risk projects, the DPIA will need to be signed by the ICO. </w:t>
      </w:r>
    </w:p>
    <w:p w14:paraId="3E9D75CD" w14:textId="1E41938F" w:rsidR="005B3705" w:rsidRPr="00A9542D" w:rsidRDefault="005B3705" w:rsidP="005B3705">
      <w:pPr>
        <w:spacing w:line="360" w:lineRule="auto"/>
      </w:pPr>
      <w:r w:rsidRPr="00A9542D">
        <w:t>The IG team will facilitate this process.</w:t>
      </w:r>
      <w:r w:rsidR="004D7971">
        <w:t xml:space="preserve"> Please note that for research projects, the R&amp;</w:t>
      </w:r>
      <w:r w:rsidR="00BF1F1F">
        <w:t>D</w:t>
      </w:r>
      <w:r w:rsidR="004D7971">
        <w:t xml:space="preserve"> team will work closely with the researcher to complete the DPIA and submit to it to IG. </w:t>
      </w:r>
    </w:p>
    <w:p w14:paraId="39BD1C4E" w14:textId="00E3AB81" w:rsidR="005B3705" w:rsidRDefault="005B3705" w:rsidP="005B3705">
      <w:pPr>
        <w:spacing w:line="360" w:lineRule="auto"/>
      </w:pPr>
      <w:r w:rsidRPr="00A9542D">
        <w:lastRenderedPageBreak/>
        <w:t>A copy of the latest UHBW DPIA template can be found on the UHBW intranet</w:t>
      </w:r>
      <w:r w:rsidR="006A10F8">
        <w:t xml:space="preserve"> on the information governance pages: </w:t>
      </w:r>
      <w:r w:rsidR="00340F7F">
        <w:t>(</w:t>
      </w:r>
      <w:hyperlink r:id="rId33" w:history="1">
        <w:r w:rsidR="00340F7F" w:rsidRPr="00011CA5">
          <w:rPr>
            <w:rStyle w:val="Hyperlink"/>
          </w:rPr>
          <w:t>http://connect/aboutus/CorporateGovernance/informationgovernance/Pages/IGResources.aspx</w:t>
        </w:r>
      </w:hyperlink>
      <w:r w:rsidR="00340F7F">
        <w:t xml:space="preserve">) </w:t>
      </w:r>
    </w:p>
    <w:p w14:paraId="5DB764BC" w14:textId="29E298B1" w:rsidR="001923A6" w:rsidRPr="001923A6" w:rsidRDefault="0067600B" w:rsidP="0067600B">
      <w:pPr>
        <w:pStyle w:val="Heading2"/>
      </w:pPr>
      <w:bookmarkStart w:id="36" w:name="_Toc100218657"/>
      <w:bookmarkStart w:id="37" w:name="_Toc92809978"/>
      <w:r w:rsidRPr="005B3705">
        <w:t xml:space="preserve">3.2 </w:t>
      </w:r>
      <w:r w:rsidR="001923A6" w:rsidRPr="005B3705">
        <w:t>Data sharing agreements</w:t>
      </w:r>
      <w:bookmarkEnd w:id="36"/>
      <w:r w:rsidR="001923A6" w:rsidRPr="001923A6">
        <w:t xml:space="preserve"> </w:t>
      </w:r>
      <w:bookmarkEnd w:id="37"/>
    </w:p>
    <w:p w14:paraId="73F1B9FC" w14:textId="472DEE5A" w:rsidR="005B3705" w:rsidRPr="00A9542D" w:rsidRDefault="005B3705" w:rsidP="005B3705">
      <w:pPr>
        <w:spacing w:line="360" w:lineRule="auto"/>
      </w:pPr>
      <w:r w:rsidRPr="00A9542D">
        <w:t xml:space="preserve">Where personal data is shared with individuals, companies, institutions or any other third parties to the Trust it will constitute a disclosure of the information from the Trust to another party. The Trust has a responsibility to ensure that personal data is shared securely and only with those who can evidence that they will also handle the data in line with all the above data protection principles. Contractual clauses  </w:t>
      </w:r>
      <w:r w:rsidR="00DA1320">
        <w:t xml:space="preserve">will be included in </w:t>
      </w:r>
      <w:r w:rsidRPr="00A9542D">
        <w:t xml:space="preserve"> contracts and/or data sharing agreements with collaborators or other third parties receiving personal data </w:t>
      </w:r>
      <w:r w:rsidR="00970464">
        <w:t xml:space="preserve"> </w:t>
      </w:r>
      <w:r w:rsidR="00DA1320">
        <w:t>to</w:t>
      </w:r>
      <w:r w:rsidR="00970464">
        <w:t xml:space="preserve"> </w:t>
      </w:r>
      <w:r w:rsidRPr="00A9542D">
        <w:t xml:space="preserve">ensure that the necessary due diligence can be evidenced. The purpose of these agreements is to set out the respective obligations and responsibilities between the parties. </w:t>
      </w:r>
    </w:p>
    <w:p w14:paraId="1B78E4F8" w14:textId="2468759B" w:rsidR="005B3705" w:rsidRPr="00A9542D" w:rsidRDefault="005B3705" w:rsidP="005B3705">
      <w:pPr>
        <w:spacing w:line="360" w:lineRule="auto"/>
      </w:pPr>
      <w:r w:rsidRPr="00A9542D">
        <w:t>There are a host of DSA templates that can be used and the</w:t>
      </w:r>
      <w:r w:rsidR="001E1F8C">
        <w:t xml:space="preserve"> choice of which one to </w:t>
      </w:r>
      <w:r w:rsidRPr="00A9542D">
        <w:t xml:space="preserve">use </w:t>
      </w:r>
      <w:r w:rsidR="001E1F8C">
        <w:t xml:space="preserve">depends </w:t>
      </w:r>
      <w:r w:rsidRPr="009237F4">
        <w:t>on the type of study and data transfer requirements</w:t>
      </w:r>
      <w:r w:rsidR="001E1F8C">
        <w:t>:</w:t>
      </w:r>
    </w:p>
    <w:p w14:paraId="07F4D1A4" w14:textId="77777777" w:rsidR="005B3705" w:rsidRPr="00A9542D" w:rsidRDefault="005B3705" w:rsidP="005B3705">
      <w:pPr>
        <w:numPr>
          <w:ilvl w:val="0"/>
          <w:numId w:val="3"/>
        </w:numPr>
        <w:spacing w:line="360" w:lineRule="auto"/>
        <w:contextualSpacing/>
      </w:pPr>
      <w:r w:rsidRPr="00A9542D">
        <w:t>The DSA included in the Organisation Information Document (</w:t>
      </w:r>
      <w:hyperlink r:id="rId34" w:history="1">
        <w:r w:rsidRPr="00A9542D">
          <w:rPr>
            <w:color w:val="0000FF" w:themeColor="hyperlink"/>
            <w:u w:val="single"/>
          </w:rPr>
          <w:t>OID</w:t>
        </w:r>
      </w:hyperlink>
      <w:r w:rsidRPr="00A9542D">
        <w:t xml:space="preserve">) for non-commercial studies. This is used between the Sponsor and the participating site (between data controller and data processor) </w:t>
      </w:r>
    </w:p>
    <w:p w14:paraId="561B485C" w14:textId="77777777" w:rsidR="005B3705" w:rsidRPr="00A9542D" w:rsidRDefault="005B3705" w:rsidP="005B3705">
      <w:pPr>
        <w:numPr>
          <w:ilvl w:val="0"/>
          <w:numId w:val="3"/>
        </w:numPr>
        <w:spacing w:line="360" w:lineRule="auto"/>
        <w:contextualSpacing/>
      </w:pPr>
      <w:r w:rsidRPr="00A9542D">
        <w:t xml:space="preserve">The DSA included in the </w:t>
      </w:r>
      <w:proofErr w:type="spellStart"/>
      <w:r w:rsidRPr="00A9542D">
        <w:t>mNCA</w:t>
      </w:r>
      <w:proofErr w:type="spellEnd"/>
      <w:r w:rsidRPr="00A9542D">
        <w:t xml:space="preserve"> and </w:t>
      </w:r>
      <w:proofErr w:type="spellStart"/>
      <w:r w:rsidRPr="00A9542D">
        <w:t>mCTA</w:t>
      </w:r>
      <w:proofErr w:type="spellEnd"/>
      <w:r w:rsidRPr="00A9542D">
        <w:t xml:space="preserve"> </w:t>
      </w:r>
      <w:hyperlink r:id="rId35" w:history="1">
        <w:r w:rsidRPr="00A9542D">
          <w:rPr>
            <w:color w:val="0000FF" w:themeColor="hyperlink"/>
            <w:u w:val="single"/>
          </w:rPr>
          <w:t>agreements</w:t>
        </w:r>
      </w:hyperlink>
      <w:r w:rsidRPr="00A9542D">
        <w:t>. These are used between the Sponsor and the participating site (between data controller and data processor)</w:t>
      </w:r>
    </w:p>
    <w:p w14:paraId="6FB3CBB5" w14:textId="77777777" w:rsidR="005B3705" w:rsidRPr="00A9542D" w:rsidRDefault="005B3705" w:rsidP="005B3705">
      <w:pPr>
        <w:numPr>
          <w:ilvl w:val="0"/>
          <w:numId w:val="3"/>
        </w:numPr>
        <w:spacing w:line="360" w:lineRule="auto"/>
        <w:contextualSpacing/>
      </w:pPr>
      <w:r w:rsidRPr="00A9542D">
        <w:t>The DSA included in the Participant identification centre (PIC)</w:t>
      </w:r>
      <w:hyperlink r:id="rId36" w:history="1">
        <w:r w:rsidRPr="00A9542D">
          <w:rPr>
            <w:color w:val="0000FF" w:themeColor="hyperlink"/>
            <w:u w:val="single"/>
          </w:rPr>
          <w:t xml:space="preserve"> agreement</w:t>
        </w:r>
      </w:hyperlink>
      <w:r w:rsidRPr="00A9542D">
        <w:t xml:space="preserve">. This is used between the NHS participating site and the PIC where the NHS participating site is the data controller and the PIC is the data processor. </w:t>
      </w:r>
    </w:p>
    <w:p w14:paraId="5F9ADA3C" w14:textId="56748E7A" w:rsidR="005B3705" w:rsidRPr="007306FF" w:rsidRDefault="005B3705" w:rsidP="005B3705">
      <w:pPr>
        <w:numPr>
          <w:ilvl w:val="0"/>
          <w:numId w:val="3"/>
        </w:numPr>
        <w:spacing w:line="360" w:lineRule="auto"/>
        <w:contextualSpacing/>
      </w:pPr>
      <w:r w:rsidRPr="006C20D2">
        <w:t xml:space="preserve">The UHBW Standard DSA which can be used where there is collaborative approach to the project where information is either controlled by all organisations party to the agreement or where there may be multiple dataflows. This document can be used for joint controllers and can also be used as a tripartite agreement where there two joint controllers and a data processor. </w:t>
      </w:r>
      <w:r w:rsidRPr="006C20D2">
        <w:rPr>
          <w:i/>
          <w:iCs/>
        </w:rPr>
        <w:t>The IG team will need to review this agreement before this is signed by all parties.</w:t>
      </w:r>
      <w:r w:rsidRPr="006C20D2">
        <w:t xml:space="preserve"> </w:t>
      </w:r>
    </w:p>
    <w:p w14:paraId="52B316D3" w14:textId="39371FEC" w:rsidR="005B3705" w:rsidRPr="007306FF" w:rsidRDefault="005B3705" w:rsidP="005B3705">
      <w:pPr>
        <w:numPr>
          <w:ilvl w:val="0"/>
          <w:numId w:val="3"/>
        </w:numPr>
        <w:spacing w:line="360" w:lineRule="auto"/>
        <w:contextualSpacing/>
        <w:rPr>
          <w:i/>
          <w:iCs/>
        </w:rPr>
      </w:pPr>
      <w:r w:rsidRPr="007306FF">
        <w:t xml:space="preserve">The Standalone Processing Agreement can be used where UHBW </w:t>
      </w:r>
      <w:r w:rsidR="00E952E6" w:rsidRPr="007306FF">
        <w:t xml:space="preserve">is </w:t>
      </w:r>
      <w:r w:rsidRPr="007306FF">
        <w:t>providing instructions to the 3</w:t>
      </w:r>
      <w:r w:rsidRPr="007306FF">
        <w:rPr>
          <w:vertAlign w:val="superscript"/>
        </w:rPr>
        <w:t>rd</w:t>
      </w:r>
      <w:r w:rsidRPr="007306FF">
        <w:t xml:space="preserve"> party on what information is to </w:t>
      </w:r>
      <w:r w:rsidR="00CB11D8" w:rsidRPr="007306FF">
        <w:t>be processed</w:t>
      </w:r>
      <w:r w:rsidRPr="007306FF">
        <w:t xml:space="preserve">, how they are processing information and for what purpose. The processor must only act on UHBW’s instructions. </w:t>
      </w:r>
      <w:r w:rsidR="0084286C" w:rsidRPr="007306FF">
        <w:t xml:space="preserve">This document should be used as an addendum to a main contract or study protocol where no data </w:t>
      </w:r>
      <w:r w:rsidR="0084286C" w:rsidRPr="007306FF">
        <w:lastRenderedPageBreak/>
        <w:t>processing terms have been previously included.</w:t>
      </w:r>
      <w:r w:rsidR="00414240">
        <w:t xml:space="preserve"> </w:t>
      </w:r>
      <w:r w:rsidRPr="007306FF">
        <w:rPr>
          <w:i/>
          <w:iCs/>
        </w:rPr>
        <w:t>The IG team will need to review this agree</w:t>
      </w:r>
      <w:r w:rsidR="005B2CB4" w:rsidRPr="007306FF">
        <w:rPr>
          <w:i/>
          <w:iCs/>
        </w:rPr>
        <w:t>m</w:t>
      </w:r>
      <w:r w:rsidRPr="007306FF">
        <w:rPr>
          <w:i/>
          <w:iCs/>
        </w:rPr>
        <w:t xml:space="preserve">ent before this is signed by all parties. </w:t>
      </w:r>
    </w:p>
    <w:p w14:paraId="3B7F6D20" w14:textId="61A2D5CA" w:rsidR="005B3705" w:rsidRPr="00A9542D" w:rsidRDefault="005B3705" w:rsidP="005B3705">
      <w:pPr>
        <w:numPr>
          <w:ilvl w:val="0"/>
          <w:numId w:val="3"/>
        </w:numPr>
        <w:spacing w:line="360" w:lineRule="auto"/>
        <w:contextualSpacing/>
      </w:pPr>
      <w:proofErr w:type="gramStart"/>
      <w:r w:rsidRPr="00A9542D">
        <w:t>The Bristol Health Partners Data Agreement</w:t>
      </w:r>
      <w:r w:rsidR="00E952E6">
        <w:t>,</w:t>
      </w:r>
      <w:proofErr w:type="gramEnd"/>
      <w:r w:rsidRPr="00A9542D">
        <w:t xml:space="preserve">  can be used for studies where there is a separate collaboration agreement</w:t>
      </w:r>
      <w:r w:rsidR="00DA1320">
        <w:t xml:space="preserve"> between any of the Bristol Health Partners</w:t>
      </w:r>
      <w:r w:rsidRPr="00A9542D">
        <w:t xml:space="preserve">. </w:t>
      </w:r>
      <w:r w:rsidR="00672549">
        <w:t xml:space="preserve">This covers both </w:t>
      </w:r>
      <w:r w:rsidR="00E952E6">
        <w:t>controller-to-controller</w:t>
      </w:r>
      <w:r w:rsidR="00672549">
        <w:t xml:space="preserve"> relationships and controller to processor arrangements by way of study specific schedules.  </w:t>
      </w:r>
      <w:r w:rsidRPr="00A9542D">
        <w:t xml:space="preserve">The IG team </w:t>
      </w:r>
      <w:r w:rsidR="00E952E6" w:rsidRPr="00A9542D">
        <w:t>ha</w:t>
      </w:r>
      <w:r w:rsidR="00E952E6">
        <w:t>s</w:t>
      </w:r>
      <w:r w:rsidR="00E952E6" w:rsidRPr="00A9542D">
        <w:t xml:space="preserve"> </w:t>
      </w:r>
      <w:r w:rsidRPr="00A9542D">
        <w:t xml:space="preserve">confirmed that they do not need to review this </w:t>
      </w:r>
      <w:proofErr w:type="gramStart"/>
      <w:r w:rsidRPr="00A9542D">
        <w:t>agreement</w:t>
      </w:r>
      <w:proofErr w:type="gramEnd"/>
      <w:r w:rsidR="0078551F">
        <w:t xml:space="preserve"> but</w:t>
      </w:r>
      <w:r w:rsidR="00E952E6">
        <w:t xml:space="preserve"> it</w:t>
      </w:r>
      <w:r w:rsidR="0078551F">
        <w:t xml:space="preserve"> should be signed off via R&amp;</w:t>
      </w:r>
      <w:r w:rsidR="00BF1F1F">
        <w:t>D</w:t>
      </w:r>
      <w:r w:rsidRPr="00A9542D">
        <w:t xml:space="preserve">.  </w:t>
      </w:r>
    </w:p>
    <w:p w14:paraId="228A419D" w14:textId="431FCA7C" w:rsidR="005B3705" w:rsidRPr="00985FFA" w:rsidRDefault="006A10F8" w:rsidP="005B3705">
      <w:pPr>
        <w:spacing w:line="360" w:lineRule="auto"/>
      </w:pPr>
      <w:r w:rsidRPr="00985FFA">
        <w:t>Please contact R</w:t>
      </w:r>
      <w:r w:rsidR="00BF1F1F">
        <w:t>&amp;D</w:t>
      </w:r>
      <w:r w:rsidRPr="00985FFA">
        <w:t xml:space="preserve"> if you need access to these templates. </w:t>
      </w:r>
    </w:p>
    <w:p w14:paraId="2D03E779" w14:textId="75DE6BBF" w:rsidR="005B3705" w:rsidRDefault="005B3705" w:rsidP="005B3705">
      <w:pPr>
        <w:spacing w:line="360" w:lineRule="auto"/>
      </w:pPr>
      <w:r>
        <w:t xml:space="preserve">Pseudonymisation describes the process where identifiable information is replaced with a unique code, </w:t>
      </w:r>
      <w:r w:rsidR="008F294B">
        <w:t xml:space="preserve">for example a </w:t>
      </w:r>
      <w:r>
        <w:t>Study ID</w:t>
      </w:r>
      <w:r w:rsidR="008F294B">
        <w:t xml:space="preserve"> number</w:t>
      </w:r>
      <w:r>
        <w:t>. The Information Commissioner’s Office considers</w:t>
      </w:r>
      <w:r w:rsidR="009858CE">
        <w:t xml:space="preserve"> data containing</w:t>
      </w:r>
      <w:r>
        <w:t xml:space="preserve"> widely used pseudonyms, or pseudonymised data where an organisation holds </w:t>
      </w:r>
      <w:r w:rsidR="009858CE">
        <w:t xml:space="preserve">the </w:t>
      </w:r>
      <w:r>
        <w:t xml:space="preserve">means to re-identify the individual, to be identifiable. </w:t>
      </w:r>
    </w:p>
    <w:p w14:paraId="09D3D2B8" w14:textId="690D846E" w:rsidR="005B3705" w:rsidRPr="00A9542D" w:rsidRDefault="005B3705" w:rsidP="005B3705">
      <w:pPr>
        <w:spacing w:line="360" w:lineRule="auto"/>
      </w:pPr>
      <w:r w:rsidRPr="00F80004">
        <w:t>However, where a 3</w:t>
      </w:r>
      <w:r w:rsidRPr="00F80004">
        <w:rPr>
          <w:vertAlign w:val="superscript"/>
        </w:rPr>
        <w:t>rd</w:t>
      </w:r>
      <w:r w:rsidRPr="00F80004">
        <w:t xml:space="preserve"> party does not hold </w:t>
      </w:r>
      <w:r w:rsidR="009858CE" w:rsidRPr="00F80004">
        <w:t xml:space="preserve">the </w:t>
      </w:r>
      <w:r w:rsidRPr="00F80004">
        <w:t>means to re-identify the individual, the pseudonym can be classed as non-identifiable. For example, a unique study ID with no other identifying factors being shared with a data processor would not always require a Data Sharing/Processing Agreement, but sharing NHS Number would require agreements to be in place.</w:t>
      </w:r>
    </w:p>
    <w:p w14:paraId="5FA071BD" w14:textId="5238A225" w:rsidR="001923A6" w:rsidRDefault="001923A6" w:rsidP="001923A6"/>
    <w:p w14:paraId="61B15456" w14:textId="47450A54" w:rsidR="005B2CB4" w:rsidRDefault="005B2CB4" w:rsidP="001923A6"/>
    <w:p w14:paraId="3EAA2610" w14:textId="363E14B5" w:rsidR="005B2CB4" w:rsidRDefault="005B2CB4" w:rsidP="001923A6"/>
    <w:p w14:paraId="15DE7556" w14:textId="3D7E3E73" w:rsidR="005B2CB4" w:rsidRDefault="005B2CB4" w:rsidP="001923A6"/>
    <w:p w14:paraId="2F2E9121" w14:textId="0927D94D" w:rsidR="005B2CB4" w:rsidRDefault="005B2CB4" w:rsidP="001923A6"/>
    <w:p w14:paraId="58C82508" w14:textId="77777777" w:rsidR="005B2CB4" w:rsidRDefault="005B2CB4" w:rsidP="001923A6"/>
    <w:p w14:paraId="6A45DF34" w14:textId="77777777" w:rsidR="00B0748C" w:rsidRDefault="00B0748C" w:rsidP="001923A6"/>
    <w:p w14:paraId="1590B991" w14:textId="77777777" w:rsidR="00B0748C" w:rsidRDefault="00B0748C" w:rsidP="001923A6"/>
    <w:p w14:paraId="6C2BA3D3" w14:textId="77777777" w:rsidR="00B0748C" w:rsidRDefault="00B0748C" w:rsidP="001923A6"/>
    <w:p w14:paraId="6138BFAD" w14:textId="77777777" w:rsidR="00B0748C" w:rsidRDefault="00B0748C" w:rsidP="001923A6"/>
    <w:p w14:paraId="591E2A96" w14:textId="77777777" w:rsidR="00B0748C" w:rsidRDefault="00B0748C" w:rsidP="001923A6"/>
    <w:p w14:paraId="7554950E" w14:textId="77777777" w:rsidR="00B0748C" w:rsidRPr="001923A6" w:rsidRDefault="00B0748C" w:rsidP="001923A6"/>
    <w:p w14:paraId="51FA6CE0" w14:textId="49DF0CF7" w:rsidR="00D36A77" w:rsidRDefault="00D36A77" w:rsidP="00D36A77">
      <w:pPr>
        <w:pStyle w:val="Heading1"/>
      </w:pPr>
      <w:bookmarkStart w:id="38" w:name="_Toc100218658"/>
      <w:r>
        <w:lastRenderedPageBreak/>
        <w:t>4. Does GDPR apply to Audits and Service Evaluations?</w:t>
      </w:r>
      <w:bookmarkEnd w:id="38"/>
      <w:r>
        <w:t xml:space="preserve"> </w:t>
      </w:r>
    </w:p>
    <w:p w14:paraId="24C0C5F7" w14:textId="50ECF4A4" w:rsidR="00D36A77" w:rsidRDefault="00D36A77" w:rsidP="001923A6">
      <w:pPr>
        <w:spacing w:line="360" w:lineRule="auto"/>
      </w:pPr>
    </w:p>
    <w:p w14:paraId="7181F1B2" w14:textId="7BD29EA5" w:rsidR="00D36A77" w:rsidRPr="0050507C" w:rsidRDefault="00A15291" w:rsidP="00D36A77">
      <w:pPr>
        <w:tabs>
          <w:tab w:val="left" w:pos="1440"/>
        </w:tabs>
        <w:spacing w:line="360" w:lineRule="auto"/>
        <w:rPr>
          <w:b/>
          <w:color w:val="7030A0"/>
          <w:sz w:val="24"/>
          <w:szCs w:val="24"/>
        </w:rPr>
      </w:pPr>
      <w:r>
        <w:t>S</w:t>
      </w:r>
      <w:r w:rsidR="00D36A77" w:rsidRPr="0050507C">
        <w:t xml:space="preserve">taff responsible for collecting personal data for the purposes of a clinical audit and/or a service evaluation will need to take responsibility </w:t>
      </w:r>
      <w:r>
        <w:t>for adhering</w:t>
      </w:r>
      <w:r w:rsidR="00D36A77" w:rsidRPr="0050507C">
        <w:t xml:space="preserve"> to the GDPR principles and </w:t>
      </w:r>
      <w:r>
        <w:t xml:space="preserve">must </w:t>
      </w:r>
      <w:r w:rsidR="00D36A77" w:rsidRPr="0050507C">
        <w:t>ensure there are processes in place to handle potential data breaches.  If data is rendered completely anonymous, GDPR regulations will not apply as the data is no longer considered personal data.</w:t>
      </w:r>
    </w:p>
    <w:p w14:paraId="21223A78" w14:textId="279E1D43" w:rsidR="00D36A77" w:rsidRPr="0050507C" w:rsidRDefault="00D36A77" w:rsidP="00D36A77">
      <w:pPr>
        <w:tabs>
          <w:tab w:val="left" w:pos="1440"/>
        </w:tabs>
        <w:spacing w:line="360" w:lineRule="auto"/>
      </w:pPr>
      <w:r w:rsidRPr="0050507C">
        <w:t xml:space="preserve">If the team is unsure whether their project is considered research/audit or a service evaluation, they should refer to the </w:t>
      </w:r>
      <w:hyperlink r:id="rId37" w:history="1">
        <w:r w:rsidRPr="00D36A77">
          <w:rPr>
            <w:rStyle w:val="Hyperlink"/>
          </w:rPr>
          <w:t>HRA</w:t>
        </w:r>
      </w:hyperlink>
      <w:r w:rsidRPr="0050507C">
        <w:t xml:space="preserve"> website which includes a guidance document for defining research . The site also provides a </w:t>
      </w:r>
      <w:hyperlink r:id="rId38" w:history="1">
        <w:r w:rsidRPr="00D36A77">
          <w:rPr>
            <w:rStyle w:val="Hyperlink"/>
          </w:rPr>
          <w:t>decision tool</w:t>
        </w:r>
      </w:hyperlink>
      <w:r w:rsidRPr="0050507C">
        <w:t xml:space="preserve"> to help </w:t>
      </w:r>
      <w:r w:rsidR="00DC1D99">
        <w:t>project leads</w:t>
      </w:r>
      <w:r w:rsidRPr="0050507C">
        <w:t xml:space="preserve"> further. </w:t>
      </w:r>
    </w:p>
    <w:p w14:paraId="3929CA5D" w14:textId="306D35E5" w:rsidR="00D36A77" w:rsidRDefault="00D36A77" w:rsidP="00D36A77">
      <w:pPr>
        <w:tabs>
          <w:tab w:val="left" w:pos="1440"/>
        </w:tabs>
        <w:spacing w:line="360" w:lineRule="auto"/>
      </w:pPr>
      <w:r>
        <w:t xml:space="preserve">Audits should be registered with and follow guidance of the UHBW’s </w:t>
      </w:r>
      <w:hyperlink r:id="rId39" w:history="1">
        <w:r w:rsidRPr="00D50DE3">
          <w:rPr>
            <w:rStyle w:val="Hyperlink"/>
          </w:rPr>
          <w:t>audit department</w:t>
        </w:r>
      </w:hyperlink>
      <w:r>
        <w:t xml:space="preserve">. </w:t>
      </w:r>
      <w:r w:rsidR="00CB11D8">
        <w:t xml:space="preserve">For projects that </w:t>
      </w:r>
      <w:proofErr w:type="spellStart"/>
      <w:r w:rsidR="00CB11D8">
        <w:t>are</w:t>
      </w:r>
      <w:r w:rsidR="00A15291">
        <w:t>r</w:t>
      </w:r>
      <w:proofErr w:type="spellEnd"/>
      <w:r w:rsidR="00A15291">
        <w:t xml:space="preserve"> service improvements or evaluations</w:t>
      </w:r>
      <w:r w:rsidR="00B95D9E">
        <w:t>,</w:t>
      </w:r>
      <w:r w:rsidR="00A15291">
        <w:t xml:space="preserve"> </w:t>
      </w:r>
      <w:r w:rsidR="00CB11D8">
        <w:t xml:space="preserve">there is no specific department at UHBW, but these might be eligible for support and registration as a quality improvement (QI) project, see: </w:t>
      </w:r>
      <w:r w:rsidR="00CB11D8">
        <w:br/>
      </w:r>
      <w:hyperlink r:id="rId40" w:history="1">
        <w:r w:rsidR="00885753" w:rsidRPr="00DB6320">
          <w:rPr>
            <w:rStyle w:val="Hyperlink"/>
          </w:rPr>
          <w:t>http://connect/governanceandquality/QIHome/Pages/QIHome.aspx</w:t>
        </w:r>
      </w:hyperlink>
      <w:r w:rsidR="00CB11D8">
        <w:br/>
      </w:r>
      <w:r w:rsidR="00E07E5B">
        <w:t>.  I</w:t>
      </w:r>
      <w:r w:rsidR="00D50DE3">
        <w:t xml:space="preserve">f a service evaluation project  </w:t>
      </w:r>
      <w:r w:rsidR="00885753">
        <w:t xml:space="preserve">requires </w:t>
      </w:r>
      <w:r w:rsidR="00D50DE3" w:rsidRPr="00D50DE3">
        <w:t>Patient Involvement</w:t>
      </w:r>
      <w:r w:rsidR="00D50DE3">
        <w:t xml:space="preserve">, please contact the </w:t>
      </w:r>
      <w:hyperlink r:id="rId41" w:history="1">
        <w:r w:rsidR="00D50DE3" w:rsidRPr="00D50DE3">
          <w:rPr>
            <w:rStyle w:val="Hyperlink"/>
          </w:rPr>
          <w:t>Patient Experience Team</w:t>
        </w:r>
      </w:hyperlink>
      <w:r w:rsidR="00D50DE3">
        <w:t xml:space="preserve"> </w:t>
      </w:r>
      <w:hyperlink r:id="rId42" w:history="1"/>
      <w:r w:rsidR="00D50DE3">
        <w:t>)</w:t>
      </w:r>
      <w:r w:rsidR="00885753">
        <w:t xml:space="preserve">, and if necessary the UHBW </w:t>
      </w:r>
      <w:hyperlink r:id="rId43" w:history="1">
        <w:r w:rsidR="00885753" w:rsidRPr="00885753">
          <w:rPr>
            <w:rStyle w:val="Hyperlink"/>
          </w:rPr>
          <w:t>Questionnaire, Interview and Survey (QIS) group</w:t>
        </w:r>
      </w:hyperlink>
      <w:r>
        <w:t xml:space="preserve">. </w:t>
      </w:r>
      <w:r w:rsidR="00D50DE3">
        <w:t>T</w:t>
      </w:r>
      <w:r>
        <w:t>eam</w:t>
      </w:r>
      <w:r w:rsidR="000D1312">
        <w:t>s</w:t>
      </w:r>
      <w:r>
        <w:t xml:space="preserve"> undertaking audits or </w:t>
      </w:r>
      <w:r w:rsidRPr="0050507C">
        <w:t xml:space="preserve">service evaluations </w:t>
      </w:r>
      <w:r>
        <w:t xml:space="preserve">(and any interviews or questionnaires done as part of these) </w:t>
      </w:r>
      <w:r w:rsidRPr="0050507C">
        <w:t xml:space="preserve">should ensure </w:t>
      </w:r>
      <w:r>
        <w:t xml:space="preserve">that </w:t>
      </w:r>
      <w:r w:rsidRPr="0050507C">
        <w:t>they have appropriate security arrangements in place to protect the personal data they hold</w:t>
      </w:r>
      <w:r>
        <w:t>,</w:t>
      </w:r>
      <w:r w:rsidRPr="0050507C">
        <w:t xml:space="preserve"> and ensure the data is </w:t>
      </w:r>
      <w:r>
        <w:t>destroyed wh</w:t>
      </w:r>
      <w:r w:rsidRPr="0050507C">
        <w:t xml:space="preserve">en it is no longer required. </w:t>
      </w:r>
      <w:r>
        <w:t>The UHBW Information Governance team may require a Data Protection Impact Assessment to be performed</w:t>
      </w:r>
      <w:r w:rsidR="0041405A">
        <w:t xml:space="preserve"> (please refer to section 3 of this document)</w:t>
      </w:r>
      <w:r>
        <w:t xml:space="preserve">. </w:t>
      </w:r>
      <w:r w:rsidR="00D50DE3">
        <w:t xml:space="preserve">Please contact the </w:t>
      </w:r>
      <w:r w:rsidR="0041405A">
        <w:t xml:space="preserve">relevant </w:t>
      </w:r>
      <w:r w:rsidR="00D50DE3">
        <w:t xml:space="preserve">Service Manager or Clinical Lead to ensure the projects are undertaken in accordance with local procedures. </w:t>
      </w:r>
      <w:r>
        <w:t xml:space="preserve"> </w:t>
      </w:r>
    </w:p>
    <w:p w14:paraId="1345112D" w14:textId="055A8BDC" w:rsidR="00D36A77" w:rsidRPr="0050507C" w:rsidRDefault="00D36A77" w:rsidP="00D36A77">
      <w:pPr>
        <w:tabs>
          <w:tab w:val="left" w:pos="1440"/>
        </w:tabs>
        <w:spacing w:line="360" w:lineRule="auto"/>
      </w:pPr>
      <w:r>
        <w:t>P</w:t>
      </w:r>
      <w:r w:rsidRPr="0050507C">
        <w:t xml:space="preserve">lease refer to the </w:t>
      </w:r>
      <w:hyperlink r:id="rId44" w:history="1">
        <w:r w:rsidRPr="00D50DE3">
          <w:rPr>
            <w:rStyle w:val="Hyperlink"/>
          </w:rPr>
          <w:t>UHBW website</w:t>
        </w:r>
      </w:hyperlink>
      <w:r w:rsidRPr="0050507C">
        <w:t xml:space="preserve"> for further information and contact details for </w:t>
      </w:r>
      <w:r w:rsidR="00D50DE3">
        <w:t>undertaking p</w:t>
      </w:r>
      <w:r w:rsidR="00D50DE3" w:rsidRPr="00D50DE3">
        <w:t>atient surveys, interviews and focus groups</w:t>
      </w:r>
      <w:r w:rsidR="00D50DE3">
        <w:t>.</w:t>
      </w:r>
    </w:p>
    <w:p w14:paraId="5BB0B873" w14:textId="77777777" w:rsidR="00D36A77" w:rsidRDefault="00D36A77" w:rsidP="00D36A77">
      <w:pPr>
        <w:keepNext/>
        <w:keepLines/>
        <w:spacing w:before="40" w:after="0"/>
        <w:outlineLvl w:val="1"/>
        <w:rPr>
          <w:rFonts w:asciiTheme="majorHAnsi" w:eastAsia="Times New Roman" w:hAnsiTheme="majorHAnsi" w:cstheme="majorBidi"/>
          <w:color w:val="365F91" w:themeColor="accent1" w:themeShade="BF"/>
          <w:sz w:val="26"/>
          <w:szCs w:val="26"/>
          <w:lang w:eastAsia="en-GB"/>
        </w:rPr>
      </w:pPr>
    </w:p>
    <w:p w14:paraId="25A0EA19" w14:textId="77777777" w:rsidR="00D36A77" w:rsidRPr="0050507C" w:rsidRDefault="00D36A77" w:rsidP="00D36A77">
      <w:pPr>
        <w:spacing w:line="360" w:lineRule="auto"/>
      </w:pPr>
    </w:p>
    <w:p w14:paraId="2D7216AA" w14:textId="2B362222" w:rsidR="00D36A77" w:rsidRDefault="00D36A77" w:rsidP="001923A6">
      <w:pPr>
        <w:spacing w:line="360" w:lineRule="auto"/>
      </w:pPr>
    </w:p>
    <w:p w14:paraId="56C84718" w14:textId="3BBAB2C5" w:rsidR="005B2CB4" w:rsidRDefault="005B2CB4" w:rsidP="001923A6">
      <w:pPr>
        <w:spacing w:line="360" w:lineRule="auto"/>
      </w:pPr>
    </w:p>
    <w:p w14:paraId="0469049D" w14:textId="77777777" w:rsidR="005B2CB4" w:rsidRDefault="005B2CB4" w:rsidP="001923A6">
      <w:pPr>
        <w:spacing w:line="360" w:lineRule="auto"/>
      </w:pPr>
    </w:p>
    <w:p w14:paraId="6F1D7373" w14:textId="77777777" w:rsidR="00D36A77" w:rsidRPr="001923A6" w:rsidRDefault="00D36A77" w:rsidP="001923A6">
      <w:pPr>
        <w:spacing w:line="360" w:lineRule="auto"/>
      </w:pPr>
    </w:p>
    <w:p w14:paraId="0530B42F" w14:textId="69D03D50" w:rsidR="001923A6" w:rsidRPr="001923A6" w:rsidRDefault="00D36A77" w:rsidP="00D36A77">
      <w:pPr>
        <w:pStyle w:val="Heading1"/>
      </w:pPr>
      <w:bookmarkStart w:id="39" w:name="_Toc92809989"/>
      <w:bookmarkStart w:id="40" w:name="_Toc100218659"/>
      <w:r>
        <w:lastRenderedPageBreak/>
        <w:t xml:space="preserve">5. </w:t>
      </w:r>
      <w:bookmarkEnd w:id="39"/>
      <w:r w:rsidR="005E4523">
        <w:t>Useful links</w:t>
      </w:r>
      <w:bookmarkEnd w:id="40"/>
      <w:r w:rsidR="005E4523">
        <w:t xml:space="preserve">  </w:t>
      </w:r>
    </w:p>
    <w:p w14:paraId="387D2792" w14:textId="77777777" w:rsidR="001923A6" w:rsidRPr="001923A6" w:rsidRDefault="001923A6" w:rsidP="001923A6"/>
    <w:p w14:paraId="3463E43B" w14:textId="135CE7B2" w:rsidR="001923A6" w:rsidRDefault="001923A6" w:rsidP="005E4523">
      <w:pPr>
        <w:rPr>
          <w:b/>
          <w:bCs/>
          <w:color w:val="0070C0"/>
        </w:rPr>
      </w:pPr>
      <w:bookmarkStart w:id="41" w:name="_Toc92809990"/>
      <w:r w:rsidRPr="00C243A1">
        <w:rPr>
          <w:b/>
          <w:bCs/>
          <w:color w:val="0070C0"/>
        </w:rPr>
        <w:t>HRA/IRAS</w:t>
      </w:r>
      <w:bookmarkEnd w:id="41"/>
    </w:p>
    <w:p w14:paraId="26CD0DF1" w14:textId="3258B524" w:rsidR="001923A6" w:rsidRPr="001923A6" w:rsidRDefault="001923A6" w:rsidP="001923A6">
      <w:pPr>
        <w:tabs>
          <w:tab w:val="left" w:pos="1440"/>
        </w:tabs>
        <w:spacing w:line="360" w:lineRule="auto"/>
      </w:pPr>
      <w:r w:rsidRPr="001923A6">
        <w:t xml:space="preserve"> </w:t>
      </w:r>
      <w:hyperlink r:id="rId45" w:history="1">
        <w:r w:rsidRPr="001923A6">
          <w:rPr>
            <w:color w:val="0000FF" w:themeColor="hyperlink"/>
            <w:u w:val="single"/>
          </w:rPr>
          <w:t>http://www.hra-decisiontools.org.uk/research/</w:t>
        </w:r>
      </w:hyperlink>
      <w:r w:rsidR="005E4523">
        <w:rPr>
          <w:color w:val="0000FF" w:themeColor="hyperlink"/>
          <w:u w:val="single"/>
        </w:rPr>
        <w:t xml:space="preserve"> </w:t>
      </w:r>
      <w:r w:rsidR="005E4523" w:rsidRPr="005E4523">
        <w:t>(HRA decision tool)</w:t>
      </w:r>
      <w:r w:rsidR="005E4523" w:rsidRPr="005E4523">
        <w:rPr>
          <w:u w:val="single"/>
        </w:rPr>
        <w:t xml:space="preserve"> </w:t>
      </w:r>
    </w:p>
    <w:p w14:paraId="239C9C9C" w14:textId="1938F08C" w:rsidR="001923A6" w:rsidRPr="005E4523" w:rsidRDefault="001C15EF" w:rsidP="001923A6">
      <w:pPr>
        <w:tabs>
          <w:tab w:val="left" w:pos="1440"/>
        </w:tabs>
        <w:spacing w:line="360" w:lineRule="auto"/>
      </w:pPr>
      <w:hyperlink r:id="rId46" w:history="1">
        <w:r w:rsidR="001923A6" w:rsidRPr="001923A6">
          <w:rPr>
            <w:color w:val="0000FF" w:themeColor="hyperlink"/>
            <w:u w:val="single"/>
          </w:rPr>
          <w:t>http://www.hra-decisiontools.org.uk/research/docs/DefiningResearchTable_Oct2017-1.pdf</w:t>
        </w:r>
      </w:hyperlink>
      <w:r w:rsidR="001923A6" w:rsidRPr="005E4523">
        <w:t xml:space="preserve"> </w:t>
      </w:r>
      <w:r w:rsidR="005E4523" w:rsidRPr="005E4523">
        <w:t xml:space="preserve">(HRA ‘Defining research table’) </w:t>
      </w:r>
    </w:p>
    <w:p w14:paraId="5013AC41" w14:textId="77777777" w:rsidR="001923A6" w:rsidRPr="001923A6" w:rsidRDefault="001C15EF" w:rsidP="001923A6">
      <w:pPr>
        <w:tabs>
          <w:tab w:val="left" w:pos="1440"/>
        </w:tabs>
        <w:spacing w:line="360" w:lineRule="auto"/>
      </w:pPr>
      <w:hyperlink r:id="rId47" w:history="1">
        <w:r w:rsidR="001923A6" w:rsidRPr="001923A6">
          <w:rPr>
            <w:color w:val="0000FF" w:themeColor="hyperlink"/>
            <w:u w:val="single"/>
          </w:rPr>
          <w:t>https://s3.eu-west-2.amazonaws.com/www.hra.nhs.uk/media/documents/hra-approval-assessment-criteria-standards-document.pdf</w:t>
        </w:r>
      </w:hyperlink>
      <w:r w:rsidR="001923A6" w:rsidRPr="001923A6">
        <w:t xml:space="preserve"> (link to HRA Approval standards)</w:t>
      </w:r>
    </w:p>
    <w:p w14:paraId="1DC41806" w14:textId="2A4E6DDB" w:rsidR="001923A6" w:rsidRPr="001923A6" w:rsidRDefault="001C15EF" w:rsidP="001923A6">
      <w:pPr>
        <w:tabs>
          <w:tab w:val="left" w:pos="1440"/>
        </w:tabs>
        <w:spacing w:line="360" w:lineRule="auto"/>
      </w:pPr>
      <w:hyperlink r:id="rId48" w:history="1">
        <w:r w:rsidR="001923A6" w:rsidRPr="001923A6">
          <w:rPr>
            <w:color w:val="0000FF" w:themeColor="hyperlink"/>
            <w:u w:val="single"/>
          </w:rPr>
          <w:t>https://www.hra.nhs.uk/approvals-amendments/what-approvals-do-i-need/confidentiality-advisory-group/</w:t>
        </w:r>
      </w:hyperlink>
      <w:r w:rsidR="001923A6" w:rsidRPr="001923A6">
        <w:t xml:space="preserve"> (</w:t>
      </w:r>
      <w:r w:rsidR="005E4523">
        <w:t>HRA information about CAG)</w:t>
      </w:r>
    </w:p>
    <w:p w14:paraId="7DC5A619" w14:textId="69255CDE" w:rsidR="001923A6" w:rsidRDefault="001923A6" w:rsidP="001923A6">
      <w:pPr>
        <w:tabs>
          <w:tab w:val="left" w:pos="1440"/>
        </w:tabs>
        <w:spacing w:line="360" w:lineRule="auto"/>
      </w:pPr>
    </w:p>
    <w:p w14:paraId="1142E689" w14:textId="77777777" w:rsidR="007336AA" w:rsidRDefault="007336AA" w:rsidP="001923A6">
      <w:pPr>
        <w:tabs>
          <w:tab w:val="left" w:pos="1440"/>
        </w:tabs>
        <w:spacing w:line="360" w:lineRule="auto"/>
      </w:pPr>
    </w:p>
    <w:p w14:paraId="1B1C48C8" w14:textId="77777777" w:rsidR="007336AA" w:rsidRPr="001923A6" w:rsidRDefault="007336AA" w:rsidP="001923A6">
      <w:pPr>
        <w:tabs>
          <w:tab w:val="left" w:pos="1440"/>
        </w:tabs>
        <w:spacing w:line="360" w:lineRule="auto"/>
      </w:pPr>
    </w:p>
    <w:p w14:paraId="22820BF0" w14:textId="32C8FC93" w:rsidR="001923A6" w:rsidRDefault="001923A6" w:rsidP="005E4523">
      <w:pPr>
        <w:rPr>
          <w:b/>
          <w:bCs/>
          <w:color w:val="0070C0"/>
        </w:rPr>
      </w:pPr>
      <w:bookmarkStart w:id="42" w:name="_Toc92809991"/>
      <w:r w:rsidRPr="00C243A1">
        <w:rPr>
          <w:b/>
          <w:bCs/>
          <w:color w:val="0070C0"/>
        </w:rPr>
        <w:t xml:space="preserve">ICO </w:t>
      </w:r>
      <w:bookmarkEnd w:id="42"/>
    </w:p>
    <w:p w14:paraId="07464E08" w14:textId="14EC5C98" w:rsidR="001923A6" w:rsidRPr="001923A6" w:rsidRDefault="001C15EF" w:rsidP="001923A6">
      <w:pPr>
        <w:tabs>
          <w:tab w:val="left" w:pos="1440"/>
        </w:tabs>
        <w:spacing w:line="360" w:lineRule="auto"/>
      </w:pPr>
      <w:hyperlink r:id="rId49" w:history="1">
        <w:r w:rsidR="001923A6" w:rsidRPr="001923A6">
          <w:rPr>
            <w:color w:val="0000FF" w:themeColor="hyperlink"/>
            <w:u w:val="single"/>
          </w:rPr>
          <w:t>https://ico.org.uk/for-organisations/guide-to-data-protection/introduction-to-data-protection/about-the-dpa-2018/</w:t>
        </w:r>
      </w:hyperlink>
      <w:r w:rsidR="005E4523">
        <w:rPr>
          <w:color w:val="0000FF" w:themeColor="hyperlink"/>
          <w:u w:val="single"/>
        </w:rPr>
        <w:t xml:space="preserve"> </w:t>
      </w:r>
      <w:r w:rsidR="005E4523" w:rsidRPr="007306FF">
        <w:rPr>
          <w:color w:val="0000FF" w:themeColor="hyperlink"/>
        </w:rPr>
        <w:t>(ICO- Further information about the DPA 2018)</w:t>
      </w:r>
    </w:p>
    <w:p w14:paraId="2F2C4C45" w14:textId="06067F15" w:rsidR="001923A6" w:rsidRPr="005E4523" w:rsidRDefault="001C15EF" w:rsidP="001923A6">
      <w:pPr>
        <w:tabs>
          <w:tab w:val="left" w:pos="1440"/>
        </w:tabs>
        <w:spacing w:line="360" w:lineRule="auto"/>
      </w:pPr>
      <w:hyperlink r:id="rId50" w:history="1">
        <w:r w:rsidR="001923A6" w:rsidRPr="001923A6">
          <w:rPr>
            <w:color w:val="0000FF" w:themeColor="hyperlink"/>
            <w:u w:val="single"/>
          </w:rPr>
          <w:t>https://ico.org.uk/media/1061/anonymisation-code.pdf</w:t>
        </w:r>
      </w:hyperlink>
      <w:r w:rsidR="005E4523">
        <w:rPr>
          <w:color w:val="0000FF" w:themeColor="hyperlink"/>
          <w:u w:val="single"/>
        </w:rPr>
        <w:t xml:space="preserve"> </w:t>
      </w:r>
      <w:r w:rsidR="005E4523" w:rsidRPr="005E4523">
        <w:t xml:space="preserve">(ICO - Further information about the process of anonymising data) </w:t>
      </w:r>
    </w:p>
    <w:p w14:paraId="5176B1DB" w14:textId="1F98D15D" w:rsidR="001923A6" w:rsidRPr="001923A6" w:rsidRDefault="001C15EF" w:rsidP="001923A6">
      <w:pPr>
        <w:tabs>
          <w:tab w:val="left" w:pos="1440"/>
        </w:tabs>
        <w:spacing w:line="360" w:lineRule="auto"/>
      </w:pPr>
      <w:hyperlink r:id="rId51" w:history="1">
        <w:r w:rsidR="001923A6" w:rsidRPr="001923A6">
          <w:rPr>
            <w:color w:val="0000FF" w:themeColor="hyperlink"/>
            <w:u w:val="single"/>
          </w:rPr>
          <w:t>https://ico.org.uk/for-organisations/guide-to-data-protection/guide-to-the-general-data-protection-regulation-gdpr/lawful-basis-for-processing/</w:t>
        </w:r>
      </w:hyperlink>
      <w:r w:rsidR="001923A6" w:rsidRPr="001923A6">
        <w:t xml:space="preserve"> </w:t>
      </w:r>
      <w:r w:rsidR="005E4523">
        <w:t xml:space="preserve">(ICO – Lawful bases for processing personal data) </w:t>
      </w:r>
    </w:p>
    <w:p w14:paraId="519200A4" w14:textId="6F723100" w:rsidR="001923A6" w:rsidRPr="001923A6" w:rsidRDefault="001C15EF" w:rsidP="001923A6">
      <w:pPr>
        <w:tabs>
          <w:tab w:val="left" w:pos="1440"/>
        </w:tabs>
        <w:spacing w:line="360" w:lineRule="auto"/>
      </w:pPr>
      <w:hyperlink r:id="rId52" w:history="1">
        <w:r w:rsidR="001923A6" w:rsidRPr="001923A6">
          <w:rPr>
            <w:color w:val="0000FF" w:themeColor="hyperlink"/>
            <w:u w:val="single"/>
          </w:rPr>
          <w:t>https://ico.org.uk/for-organisations/guide-to-data-protection/guide-to-the-general-data-protection-regulation-gdpr/lawful-basis-for-processing/special-category-data/</w:t>
        </w:r>
      </w:hyperlink>
      <w:r w:rsidR="001923A6" w:rsidRPr="001923A6">
        <w:t xml:space="preserve"> </w:t>
      </w:r>
      <w:r w:rsidR="005E4523">
        <w:t xml:space="preserve">(ICO – Further information for processing special category data) </w:t>
      </w:r>
    </w:p>
    <w:p w14:paraId="11D1AA48" w14:textId="5A2AA35C" w:rsidR="001923A6" w:rsidRDefault="001923A6" w:rsidP="001923A6">
      <w:pPr>
        <w:tabs>
          <w:tab w:val="left" w:pos="1440"/>
        </w:tabs>
        <w:spacing w:line="360" w:lineRule="auto"/>
      </w:pPr>
    </w:p>
    <w:p w14:paraId="30C9DBD6" w14:textId="65D807C3" w:rsidR="007336AA" w:rsidRDefault="007336AA" w:rsidP="001923A6">
      <w:pPr>
        <w:tabs>
          <w:tab w:val="left" w:pos="1440"/>
        </w:tabs>
        <w:spacing w:line="360" w:lineRule="auto"/>
      </w:pPr>
    </w:p>
    <w:p w14:paraId="2BAEBA14" w14:textId="77777777" w:rsidR="007336AA" w:rsidRPr="001923A6" w:rsidRDefault="007336AA" w:rsidP="001923A6">
      <w:pPr>
        <w:tabs>
          <w:tab w:val="left" w:pos="1440"/>
        </w:tabs>
        <w:spacing w:line="360" w:lineRule="auto"/>
      </w:pPr>
    </w:p>
    <w:p w14:paraId="337E548A" w14:textId="737B7CFD" w:rsidR="001923A6" w:rsidRDefault="001923A6" w:rsidP="005E4523">
      <w:pPr>
        <w:rPr>
          <w:b/>
          <w:bCs/>
          <w:color w:val="0070C0"/>
        </w:rPr>
      </w:pPr>
      <w:bookmarkStart w:id="43" w:name="_Toc92809992"/>
      <w:r w:rsidRPr="00953BB7">
        <w:rPr>
          <w:b/>
          <w:bCs/>
          <w:color w:val="0070C0"/>
        </w:rPr>
        <w:lastRenderedPageBreak/>
        <w:t xml:space="preserve">Other </w:t>
      </w:r>
      <w:bookmarkEnd w:id="43"/>
      <w:r w:rsidR="005E4523" w:rsidRPr="00953BB7">
        <w:rPr>
          <w:b/>
          <w:bCs/>
          <w:color w:val="0070C0"/>
        </w:rPr>
        <w:t xml:space="preserve">useful links </w:t>
      </w:r>
    </w:p>
    <w:p w14:paraId="4B8A8490" w14:textId="7A340542" w:rsidR="001923A6" w:rsidRPr="00D50DE3" w:rsidRDefault="001C15EF" w:rsidP="001923A6">
      <w:pPr>
        <w:tabs>
          <w:tab w:val="left" w:pos="1440"/>
        </w:tabs>
        <w:spacing w:line="360" w:lineRule="auto"/>
      </w:pPr>
      <w:hyperlink r:id="rId53" w:history="1">
        <w:r w:rsidR="001923A6" w:rsidRPr="001923A6">
          <w:rPr>
            <w:color w:val="0000FF" w:themeColor="hyperlink"/>
            <w:u w:val="single"/>
          </w:rPr>
          <w:t>https://digital.nhs.uk/coronavirus/coronavirus-data-services-updates/trusted-research-environment-service-for-england</w:t>
        </w:r>
      </w:hyperlink>
      <w:r w:rsidR="00425E68">
        <w:rPr>
          <w:color w:val="0000FF" w:themeColor="hyperlink"/>
          <w:u w:val="single"/>
        </w:rPr>
        <w:t xml:space="preserve"> </w:t>
      </w:r>
      <w:r w:rsidR="00425E68" w:rsidRPr="00D50DE3">
        <w:t>(NHS Digital - Further information about TREs)</w:t>
      </w:r>
    </w:p>
    <w:p w14:paraId="1C0C7257" w14:textId="2F525BDD" w:rsidR="001923A6" w:rsidRPr="00D50DE3" w:rsidRDefault="001C15EF" w:rsidP="001923A6">
      <w:pPr>
        <w:tabs>
          <w:tab w:val="left" w:pos="1440"/>
        </w:tabs>
        <w:spacing w:line="360" w:lineRule="auto"/>
      </w:pPr>
      <w:hyperlink r:id="rId54" w:history="1">
        <w:r w:rsidR="001923A6" w:rsidRPr="001923A6">
          <w:rPr>
            <w:color w:val="0000FF" w:themeColor="hyperlink"/>
            <w:u w:val="single"/>
          </w:rPr>
          <w:t>https://www.healthdatagateway.org/</w:t>
        </w:r>
      </w:hyperlink>
      <w:r w:rsidR="00425E68">
        <w:rPr>
          <w:color w:val="0000FF" w:themeColor="hyperlink"/>
          <w:u w:val="single"/>
        </w:rPr>
        <w:t xml:space="preserve"> </w:t>
      </w:r>
      <w:r w:rsidR="00425E68" w:rsidRPr="00D50DE3">
        <w:t xml:space="preserve">(Further information about access UK health datasets) </w:t>
      </w:r>
    </w:p>
    <w:p w14:paraId="248B27E8" w14:textId="58FF75AE" w:rsidR="001923A6" w:rsidRPr="001923A6" w:rsidRDefault="001C15EF" w:rsidP="001923A6">
      <w:pPr>
        <w:tabs>
          <w:tab w:val="left" w:pos="1440"/>
        </w:tabs>
        <w:spacing w:line="360" w:lineRule="auto"/>
      </w:pPr>
      <w:hyperlink r:id="rId55" w:anchor="anonymisation" w:history="1">
        <w:r w:rsidR="001923A6" w:rsidRPr="001923A6">
          <w:rPr>
            <w:color w:val="0000FF" w:themeColor="hyperlink"/>
            <w:u w:val="single"/>
          </w:rPr>
          <w:t>https://ukdataservice.ac.uk/learning-hub/research-data-management/#anonymisation</w:t>
        </w:r>
      </w:hyperlink>
      <w:r w:rsidR="005E4523">
        <w:rPr>
          <w:color w:val="0000FF" w:themeColor="hyperlink"/>
          <w:u w:val="single"/>
        </w:rPr>
        <w:t xml:space="preserve"> </w:t>
      </w:r>
      <w:r w:rsidR="005E4523" w:rsidRPr="00D50DE3">
        <w:t xml:space="preserve">(UK Data Service – Further information about anonymising data) </w:t>
      </w:r>
    </w:p>
    <w:p w14:paraId="0986C0E2" w14:textId="29287EFF" w:rsidR="001923A6" w:rsidRPr="001923A6" w:rsidRDefault="001C15EF" w:rsidP="001923A6">
      <w:pPr>
        <w:tabs>
          <w:tab w:val="left" w:pos="1440"/>
        </w:tabs>
        <w:spacing w:line="360" w:lineRule="auto"/>
      </w:pPr>
      <w:hyperlink r:id="rId56" w:history="1">
        <w:r w:rsidR="001923A6" w:rsidRPr="001923A6">
          <w:rPr>
            <w:color w:val="0000FF" w:themeColor="hyperlink"/>
            <w:u w:val="single"/>
          </w:rPr>
          <w:t>http://www.uhbristol.nhs.uk/research-innovation/for-researchers/is-it-research,-audit-or-service-evaluation/</w:t>
        </w:r>
      </w:hyperlink>
      <w:r w:rsidR="001923A6" w:rsidRPr="001923A6">
        <w:t xml:space="preserve"> </w:t>
      </w:r>
      <w:r w:rsidR="005E4523">
        <w:t xml:space="preserve">(UHBW – Is my study considered research, audit or service evaluation?) </w:t>
      </w:r>
    </w:p>
    <w:p w14:paraId="11A24A2A" w14:textId="77777777" w:rsidR="001923A6" w:rsidRPr="001923A6" w:rsidRDefault="001923A6" w:rsidP="001923A6">
      <w:pPr>
        <w:tabs>
          <w:tab w:val="left" w:pos="1440"/>
        </w:tabs>
        <w:spacing w:line="360" w:lineRule="auto"/>
      </w:pPr>
    </w:p>
    <w:p w14:paraId="0F6A7878" w14:textId="77777777" w:rsidR="00EA34E9" w:rsidRDefault="00EA34E9"/>
    <w:sectPr w:rsidR="00EA34E9">
      <w:headerReference w:type="default" r:id="rId57"/>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18EF" w14:textId="77777777" w:rsidR="005E6577" w:rsidRDefault="005E6577" w:rsidP="00BC7C4D">
      <w:pPr>
        <w:spacing w:after="0" w:line="240" w:lineRule="auto"/>
      </w:pPr>
      <w:r>
        <w:separator/>
      </w:r>
    </w:p>
  </w:endnote>
  <w:endnote w:type="continuationSeparator" w:id="0">
    <w:p w14:paraId="37A45871" w14:textId="77777777" w:rsidR="005E6577" w:rsidRDefault="005E6577" w:rsidP="00BC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795E4" w14:textId="181E0740" w:rsidR="005837F8" w:rsidRDefault="005837F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FA0536">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FA0536">
      <w:rPr>
        <w:noProof/>
        <w:color w:val="4F81BD" w:themeColor="accent1"/>
      </w:rPr>
      <w:t>17</w:t>
    </w:r>
    <w:r>
      <w:rPr>
        <w:color w:val="4F81BD" w:themeColor="accent1"/>
      </w:rPr>
      <w:fldChar w:fldCharType="end"/>
    </w:r>
  </w:p>
  <w:p w14:paraId="5308D74D" w14:textId="15387B08" w:rsidR="005837F8" w:rsidRDefault="005837F8">
    <w:pPr>
      <w:pStyle w:val="Footer"/>
      <w:jc w:val="center"/>
      <w:rPr>
        <w:color w:val="4F81BD" w:themeColor="accent1"/>
      </w:rPr>
    </w:pPr>
  </w:p>
  <w:p w14:paraId="32D499CE" w14:textId="59F7ECE5" w:rsidR="005837F8" w:rsidRDefault="00AE50BA" w:rsidP="00AE50BA">
    <w:pPr>
      <w:pStyle w:val="Footer"/>
      <w:rPr>
        <w:color w:val="4F81BD" w:themeColor="accent1"/>
      </w:rPr>
    </w:pPr>
    <w:r>
      <w:rPr>
        <w:color w:val="4F81BD" w:themeColor="accent1"/>
      </w:rPr>
      <w:t xml:space="preserve">UHBW Research &amp; </w:t>
    </w:r>
    <w:r w:rsidR="00BF1F1F">
      <w:rPr>
        <w:color w:val="4F81BD" w:themeColor="accent1"/>
      </w:rPr>
      <w:t>Development</w:t>
    </w:r>
    <w:r>
      <w:rPr>
        <w:color w:val="4F81BD" w:themeColor="accent1"/>
      </w:rPr>
      <w:tab/>
    </w:r>
    <w:r>
      <w:rPr>
        <w:color w:val="4F81BD" w:themeColor="accent1"/>
      </w:rPr>
      <w:tab/>
    </w:r>
    <w:r w:rsidR="00DE3820">
      <w:rPr>
        <w:color w:val="4F81BD" w:themeColor="accent1"/>
      </w:rPr>
      <w:t xml:space="preserve">GD_034 </w:t>
    </w:r>
    <w:r w:rsidR="00B0748C">
      <w:rPr>
        <w:color w:val="4F81BD" w:themeColor="accent1"/>
      </w:rPr>
      <w:t>Version 1.</w:t>
    </w:r>
    <w:r w:rsidR="00BF1F1F">
      <w:rPr>
        <w:color w:val="4F81BD" w:themeColor="accent1"/>
      </w:rPr>
      <w:t>1</w:t>
    </w:r>
    <w:r w:rsidR="005837F8">
      <w:rPr>
        <w:color w:val="4F81BD" w:themeColor="accent1"/>
      </w:rPr>
      <w:t xml:space="preserve"> dated </w:t>
    </w:r>
    <w:r w:rsidR="001C15EF" w:rsidRPr="001C15EF">
      <w:rPr>
        <w:color w:val="4F81BD" w:themeColor="accent1"/>
      </w:rPr>
      <w:t>22.MAR.2023</w:t>
    </w:r>
  </w:p>
  <w:p w14:paraId="645C6BD2" w14:textId="77777777" w:rsidR="005837F8" w:rsidRDefault="00583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5F082" w14:textId="77777777" w:rsidR="005E6577" w:rsidRDefault="005E6577" w:rsidP="00BC7C4D">
      <w:pPr>
        <w:spacing w:after="0" w:line="240" w:lineRule="auto"/>
      </w:pPr>
      <w:r>
        <w:separator/>
      </w:r>
    </w:p>
  </w:footnote>
  <w:footnote w:type="continuationSeparator" w:id="0">
    <w:p w14:paraId="28C572C9" w14:textId="77777777" w:rsidR="005E6577" w:rsidRDefault="005E6577" w:rsidP="00BC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BE487" w14:textId="4419268F" w:rsidR="00AE50BA" w:rsidRDefault="00AE50BA">
    <w:pPr>
      <w:pStyle w:val="Header"/>
    </w:pPr>
    <w:r>
      <w:rPr>
        <w:noProof/>
      </w:rPr>
      <w:drawing>
        <wp:anchor distT="0" distB="0" distL="114300" distR="114300" simplePos="0" relativeHeight="251659264" behindDoc="0" locked="0" layoutInCell="1" allowOverlap="1" wp14:anchorId="13E91EB5" wp14:editId="11E542E9">
          <wp:simplePos x="0" y="0"/>
          <wp:positionH relativeFrom="column">
            <wp:posOffset>5029200</wp:posOffset>
          </wp:positionH>
          <wp:positionV relativeFrom="paragraph">
            <wp:posOffset>-229235</wp:posOffset>
          </wp:positionV>
          <wp:extent cx="969010" cy="467995"/>
          <wp:effectExtent l="0" t="0" r="2540" b="8255"/>
          <wp:wrapNone/>
          <wp:docPr id="3" name="Picture 3" descr="C:\Users\lambertreb\AppData\Local\Microsoft\Windows\INetCache\Content.Outlook\O87MDB1Z\UHB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bertreb\AppData\Local\Microsoft\Windows\INetCache\Content.Outlook\O87MDB1Z\UHB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0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DA2"/>
    <w:multiLevelType w:val="hybridMultilevel"/>
    <w:tmpl w:val="4810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40BCD"/>
    <w:multiLevelType w:val="hybridMultilevel"/>
    <w:tmpl w:val="E2D8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112E7"/>
    <w:multiLevelType w:val="hybridMultilevel"/>
    <w:tmpl w:val="5D76F0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46C75"/>
    <w:multiLevelType w:val="hybridMultilevel"/>
    <w:tmpl w:val="0472D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665867"/>
    <w:multiLevelType w:val="hybridMultilevel"/>
    <w:tmpl w:val="76D2B92E"/>
    <w:lvl w:ilvl="0" w:tplc="4724A3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447D4"/>
    <w:multiLevelType w:val="multilevel"/>
    <w:tmpl w:val="A988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D332ED"/>
    <w:multiLevelType w:val="hybridMultilevel"/>
    <w:tmpl w:val="09ECEC9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5D7640"/>
    <w:multiLevelType w:val="multilevel"/>
    <w:tmpl w:val="D4BE397E"/>
    <w:lvl w:ilvl="0">
      <w:start w:val="1"/>
      <w:numFmt w:val="decimal"/>
      <w:lvlText w:val="%1."/>
      <w:lvlJc w:val="left"/>
      <w:pPr>
        <w:ind w:left="720" w:hanging="360"/>
      </w:pPr>
      <w:rPr>
        <w:rFonts w:hint="default"/>
      </w:rPr>
    </w:lvl>
    <w:lvl w:ilvl="1">
      <w:start w:val="3"/>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36224147">
    <w:abstractNumId w:val="4"/>
  </w:num>
  <w:num w:numId="2" w16cid:durableId="239800721">
    <w:abstractNumId w:val="6"/>
  </w:num>
  <w:num w:numId="3" w16cid:durableId="124322648">
    <w:abstractNumId w:val="3"/>
  </w:num>
  <w:num w:numId="4" w16cid:durableId="1808355532">
    <w:abstractNumId w:val="2"/>
  </w:num>
  <w:num w:numId="5" w16cid:durableId="2084795307">
    <w:abstractNumId w:val="7"/>
  </w:num>
  <w:num w:numId="6" w16cid:durableId="932085441">
    <w:abstractNumId w:val="1"/>
  </w:num>
  <w:num w:numId="7" w16cid:durableId="444035412">
    <w:abstractNumId w:val="5"/>
  </w:num>
  <w:num w:numId="8" w16cid:durableId="813638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3A6"/>
    <w:rsid w:val="00012AD2"/>
    <w:rsid w:val="000204CA"/>
    <w:rsid w:val="00035F4A"/>
    <w:rsid w:val="0003728C"/>
    <w:rsid w:val="0004716A"/>
    <w:rsid w:val="0005481B"/>
    <w:rsid w:val="000B0EC5"/>
    <w:rsid w:val="000B167C"/>
    <w:rsid w:val="000B5FA7"/>
    <w:rsid w:val="000C5E35"/>
    <w:rsid w:val="000D1312"/>
    <w:rsid w:val="000D4A93"/>
    <w:rsid w:val="00120885"/>
    <w:rsid w:val="00184D48"/>
    <w:rsid w:val="00187CB3"/>
    <w:rsid w:val="001923A6"/>
    <w:rsid w:val="001A2ACC"/>
    <w:rsid w:val="001A30D3"/>
    <w:rsid w:val="001A51E7"/>
    <w:rsid w:val="001C15EF"/>
    <w:rsid w:val="001D0FAD"/>
    <w:rsid w:val="001E1F8C"/>
    <w:rsid w:val="002033A8"/>
    <w:rsid w:val="00241B77"/>
    <w:rsid w:val="0025082A"/>
    <w:rsid w:val="00262B12"/>
    <w:rsid w:val="00266D0C"/>
    <w:rsid w:val="002969C9"/>
    <w:rsid w:val="002C3690"/>
    <w:rsid w:val="002E24C3"/>
    <w:rsid w:val="002F552A"/>
    <w:rsid w:val="0031034D"/>
    <w:rsid w:val="00340F7F"/>
    <w:rsid w:val="00375617"/>
    <w:rsid w:val="0037645E"/>
    <w:rsid w:val="003826A3"/>
    <w:rsid w:val="003E2333"/>
    <w:rsid w:val="003F1EAF"/>
    <w:rsid w:val="00407AD0"/>
    <w:rsid w:val="0041405A"/>
    <w:rsid w:val="00414240"/>
    <w:rsid w:val="00425E68"/>
    <w:rsid w:val="00451869"/>
    <w:rsid w:val="00464009"/>
    <w:rsid w:val="00486BDD"/>
    <w:rsid w:val="00494275"/>
    <w:rsid w:val="004D7971"/>
    <w:rsid w:val="00536041"/>
    <w:rsid w:val="00537D48"/>
    <w:rsid w:val="00557211"/>
    <w:rsid w:val="005837F8"/>
    <w:rsid w:val="005B2CB4"/>
    <w:rsid w:val="005B3705"/>
    <w:rsid w:val="005C15CF"/>
    <w:rsid w:val="005E4523"/>
    <w:rsid w:val="005E6577"/>
    <w:rsid w:val="005F1FE4"/>
    <w:rsid w:val="005F291F"/>
    <w:rsid w:val="00604D16"/>
    <w:rsid w:val="00610A48"/>
    <w:rsid w:val="006163FB"/>
    <w:rsid w:val="00624DAD"/>
    <w:rsid w:val="00656D95"/>
    <w:rsid w:val="0067050E"/>
    <w:rsid w:val="00672549"/>
    <w:rsid w:val="0067600B"/>
    <w:rsid w:val="00687F66"/>
    <w:rsid w:val="006A10F8"/>
    <w:rsid w:val="006B73F7"/>
    <w:rsid w:val="006C20D2"/>
    <w:rsid w:val="006E1C50"/>
    <w:rsid w:val="006F0A1D"/>
    <w:rsid w:val="00702C92"/>
    <w:rsid w:val="00710187"/>
    <w:rsid w:val="007306FF"/>
    <w:rsid w:val="007336AA"/>
    <w:rsid w:val="0078551F"/>
    <w:rsid w:val="00793FFE"/>
    <w:rsid w:val="007A46F3"/>
    <w:rsid w:val="007B3FCF"/>
    <w:rsid w:val="007B5B2A"/>
    <w:rsid w:val="007B77FC"/>
    <w:rsid w:val="007D634E"/>
    <w:rsid w:val="007E2C19"/>
    <w:rsid w:val="00817FB1"/>
    <w:rsid w:val="0084286C"/>
    <w:rsid w:val="00856156"/>
    <w:rsid w:val="00860554"/>
    <w:rsid w:val="008664FF"/>
    <w:rsid w:val="00866992"/>
    <w:rsid w:val="00871ABA"/>
    <w:rsid w:val="008811CB"/>
    <w:rsid w:val="00885753"/>
    <w:rsid w:val="008B0C29"/>
    <w:rsid w:val="008D65EF"/>
    <w:rsid w:val="008D71D4"/>
    <w:rsid w:val="008F294B"/>
    <w:rsid w:val="0091593D"/>
    <w:rsid w:val="00915E3A"/>
    <w:rsid w:val="00943BA7"/>
    <w:rsid w:val="00953BB7"/>
    <w:rsid w:val="009578ED"/>
    <w:rsid w:val="00961B36"/>
    <w:rsid w:val="00970464"/>
    <w:rsid w:val="009858CE"/>
    <w:rsid w:val="00985FFA"/>
    <w:rsid w:val="009A4A00"/>
    <w:rsid w:val="009F4AC3"/>
    <w:rsid w:val="00A130B8"/>
    <w:rsid w:val="00A15291"/>
    <w:rsid w:val="00A60B07"/>
    <w:rsid w:val="00A72055"/>
    <w:rsid w:val="00A85C85"/>
    <w:rsid w:val="00AA0803"/>
    <w:rsid w:val="00AD43C0"/>
    <w:rsid w:val="00AE44DD"/>
    <w:rsid w:val="00AE50BA"/>
    <w:rsid w:val="00AE5E7B"/>
    <w:rsid w:val="00AF18FC"/>
    <w:rsid w:val="00B059D7"/>
    <w:rsid w:val="00B0748C"/>
    <w:rsid w:val="00B132A7"/>
    <w:rsid w:val="00B40CA5"/>
    <w:rsid w:val="00B455B5"/>
    <w:rsid w:val="00B64ED2"/>
    <w:rsid w:val="00B95D9E"/>
    <w:rsid w:val="00BA5693"/>
    <w:rsid w:val="00BA6F31"/>
    <w:rsid w:val="00BC7C4D"/>
    <w:rsid w:val="00BE0235"/>
    <w:rsid w:val="00BF1F1F"/>
    <w:rsid w:val="00BF2DC1"/>
    <w:rsid w:val="00C022F3"/>
    <w:rsid w:val="00C15831"/>
    <w:rsid w:val="00C21F4E"/>
    <w:rsid w:val="00C243A1"/>
    <w:rsid w:val="00C37C0A"/>
    <w:rsid w:val="00C53CAF"/>
    <w:rsid w:val="00C868A7"/>
    <w:rsid w:val="00CA0657"/>
    <w:rsid w:val="00CB11D8"/>
    <w:rsid w:val="00CF4DDE"/>
    <w:rsid w:val="00D178BC"/>
    <w:rsid w:val="00D354D0"/>
    <w:rsid w:val="00D36A77"/>
    <w:rsid w:val="00D50DE3"/>
    <w:rsid w:val="00D66CEC"/>
    <w:rsid w:val="00D85429"/>
    <w:rsid w:val="00D91891"/>
    <w:rsid w:val="00DA1320"/>
    <w:rsid w:val="00DA4FF5"/>
    <w:rsid w:val="00DC1D25"/>
    <w:rsid w:val="00DC1D99"/>
    <w:rsid w:val="00DD5DC3"/>
    <w:rsid w:val="00DE3820"/>
    <w:rsid w:val="00E0519E"/>
    <w:rsid w:val="00E07E5B"/>
    <w:rsid w:val="00E07FA1"/>
    <w:rsid w:val="00E337E0"/>
    <w:rsid w:val="00E345DC"/>
    <w:rsid w:val="00E411B0"/>
    <w:rsid w:val="00E80682"/>
    <w:rsid w:val="00E952E6"/>
    <w:rsid w:val="00EA34E9"/>
    <w:rsid w:val="00ED7B24"/>
    <w:rsid w:val="00EE3C4F"/>
    <w:rsid w:val="00F068E8"/>
    <w:rsid w:val="00F21493"/>
    <w:rsid w:val="00F56060"/>
    <w:rsid w:val="00F57DAE"/>
    <w:rsid w:val="00F61627"/>
    <w:rsid w:val="00F80004"/>
    <w:rsid w:val="00F86130"/>
    <w:rsid w:val="00F94404"/>
    <w:rsid w:val="00FA0536"/>
    <w:rsid w:val="00FA5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A41C3"/>
  <w15:docId w15:val="{DA173731-EC91-4727-85F6-8A39A2659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C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5E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2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3A6"/>
    <w:rPr>
      <w:sz w:val="16"/>
      <w:szCs w:val="16"/>
    </w:rPr>
  </w:style>
  <w:style w:type="paragraph" w:styleId="CommentText">
    <w:name w:val="annotation text"/>
    <w:basedOn w:val="Normal"/>
    <w:link w:val="CommentTextChar"/>
    <w:uiPriority w:val="99"/>
    <w:unhideWhenUsed/>
    <w:rsid w:val="001923A6"/>
    <w:pPr>
      <w:spacing w:line="240" w:lineRule="auto"/>
    </w:pPr>
    <w:rPr>
      <w:sz w:val="20"/>
      <w:szCs w:val="20"/>
    </w:rPr>
  </w:style>
  <w:style w:type="character" w:customStyle="1" w:styleId="CommentTextChar">
    <w:name w:val="Comment Text Char"/>
    <w:basedOn w:val="DefaultParagraphFont"/>
    <w:link w:val="CommentText"/>
    <w:uiPriority w:val="99"/>
    <w:rsid w:val="001923A6"/>
    <w:rPr>
      <w:sz w:val="20"/>
      <w:szCs w:val="20"/>
    </w:rPr>
  </w:style>
  <w:style w:type="character" w:customStyle="1" w:styleId="Heading1Char">
    <w:name w:val="Heading 1 Char"/>
    <w:basedOn w:val="DefaultParagraphFont"/>
    <w:link w:val="Heading1"/>
    <w:uiPriority w:val="9"/>
    <w:rsid w:val="00BC7C4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C7C4D"/>
    <w:pPr>
      <w:spacing w:line="259" w:lineRule="auto"/>
      <w:outlineLvl w:val="9"/>
    </w:pPr>
    <w:rPr>
      <w:lang w:val="en-US"/>
    </w:rPr>
  </w:style>
  <w:style w:type="paragraph" w:styleId="TOC1">
    <w:name w:val="toc 1"/>
    <w:basedOn w:val="Normal"/>
    <w:next w:val="Normal"/>
    <w:autoRedefine/>
    <w:uiPriority w:val="39"/>
    <w:unhideWhenUsed/>
    <w:rsid w:val="00D50DE3"/>
    <w:pPr>
      <w:tabs>
        <w:tab w:val="left" w:pos="440"/>
        <w:tab w:val="right" w:leader="dot" w:pos="9016"/>
      </w:tabs>
      <w:spacing w:after="100"/>
    </w:pPr>
  </w:style>
  <w:style w:type="paragraph" w:styleId="TOC2">
    <w:name w:val="toc 2"/>
    <w:basedOn w:val="Normal"/>
    <w:next w:val="Normal"/>
    <w:autoRedefine/>
    <w:uiPriority w:val="39"/>
    <w:unhideWhenUsed/>
    <w:rsid w:val="00425E68"/>
    <w:pPr>
      <w:tabs>
        <w:tab w:val="right" w:leader="dot" w:pos="9016"/>
      </w:tabs>
      <w:spacing w:after="100"/>
      <w:ind w:left="220"/>
    </w:pPr>
  </w:style>
  <w:style w:type="character" w:styleId="Hyperlink">
    <w:name w:val="Hyperlink"/>
    <w:basedOn w:val="DefaultParagraphFont"/>
    <w:uiPriority w:val="99"/>
    <w:unhideWhenUsed/>
    <w:rsid w:val="00BC7C4D"/>
    <w:rPr>
      <w:color w:val="0000FF" w:themeColor="hyperlink"/>
      <w:u w:val="single"/>
    </w:rPr>
  </w:style>
  <w:style w:type="paragraph" w:styleId="Header">
    <w:name w:val="header"/>
    <w:basedOn w:val="Normal"/>
    <w:link w:val="HeaderChar"/>
    <w:uiPriority w:val="99"/>
    <w:unhideWhenUsed/>
    <w:rsid w:val="00BC7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C4D"/>
  </w:style>
  <w:style w:type="paragraph" w:styleId="Footer">
    <w:name w:val="footer"/>
    <w:basedOn w:val="Normal"/>
    <w:link w:val="FooterChar"/>
    <w:uiPriority w:val="99"/>
    <w:unhideWhenUsed/>
    <w:rsid w:val="00BC7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C4D"/>
  </w:style>
  <w:style w:type="paragraph" w:styleId="BalloonText">
    <w:name w:val="Balloon Text"/>
    <w:basedOn w:val="Normal"/>
    <w:link w:val="BalloonTextChar"/>
    <w:uiPriority w:val="99"/>
    <w:semiHidden/>
    <w:unhideWhenUsed/>
    <w:rsid w:val="00F94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4716A"/>
    <w:rPr>
      <w:b/>
      <w:bCs/>
    </w:rPr>
  </w:style>
  <w:style w:type="character" w:customStyle="1" w:styleId="CommentSubjectChar">
    <w:name w:val="Comment Subject Char"/>
    <w:basedOn w:val="CommentTextChar"/>
    <w:link w:val="CommentSubject"/>
    <w:uiPriority w:val="99"/>
    <w:semiHidden/>
    <w:rsid w:val="0004716A"/>
    <w:rPr>
      <w:b/>
      <w:bCs/>
      <w:sz w:val="20"/>
      <w:szCs w:val="20"/>
    </w:rPr>
  </w:style>
  <w:style w:type="paragraph" w:styleId="Revision">
    <w:name w:val="Revision"/>
    <w:hidden/>
    <w:uiPriority w:val="99"/>
    <w:semiHidden/>
    <w:rsid w:val="00B059D7"/>
    <w:pPr>
      <w:spacing w:after="0" w:line="240" w:lineRule="auto"/>
    </w:pPr>
  </w:style>
  <w:style w:type="character" w:customStyle="1" w:styleId="Heading2Char">
    <w:name w:val="Heading 2 Char"/>
    <w:basedOn w:val="DefaultParagraphFont"/>
    <w:link w:val="Heading2"/>
    <w:uiPriority w:val="9"/>
    <w:rsid w:val="000C5E35"/>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C868A7"/>
    <w:rPr>
      <w:color w:val="605E5C"/>
      <w:shd w:val="clear" w:color="auto" w:fill="E1DFDD"/>
    </w:rPr>
  </w:style>
  <w:style w:type="character" w:styleId="FollowedHyperlink">
    <w:name w:val="FollowedHyperlink"/>
    <w:basedOn w:val="DefaultParagraphFont"/>
    <w:uiPriority w:val="99"/>
    <w:semiHidden/>
    <w:unhideWhenUsed/>
    <w:rsid w:val="00860554"/>
    <w:rPr>
      <w:color w:val="800080" w:themeColor="followedHyperlink"/>
      <w:u w:val="single"/>
    </w:rPr>
  </w:style>
  <w:style w:type="paragraph" w:styleId="ListParagraph">
    <w:name w:val="List Paragraph"/>
    <w:basedOn w:val="Normal"/>
    <w:uiPriority w:val="34"/>
    <w:qFormat/>
    <w:rsid w:val="0067600B"/>
    <w:pPr>
      <w:ind w:left="720"/>
      <w:contextualSpacing/>
    </w:pPr>
  </w:style>
  <w:style w:type="character" w:styleId="Strong">
    <w:name w:val="Strong"/>
    <w:basedOn w:val="DefaultParagraphFont"/>
    <w:uiPriority w:val="22"/>
    <w:qFormat/>
    <w:rsid w:val="002E2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446202">
      <w:bodyDiv w:val="1"/>
      <w:marLeft w:val="0"/>
      <w:marRight w:val="0"/>
      <w:marTop w:val="0"/>
      <w:marBottom w:val="0"/>
      <w:divBdr>
        <w:top w:val="none" w:sz="0" w:space="0" w:color="auto"/>
        <w:left w:val="none" w:sz="0" w:space="0" w:color="auto"/>
        <w:bottom w:val="none" w:sz="0" w:space="0" w:color="auto"/>
        <w:right w:val="none" w:sz="0" w:space="0" w:color="auto"/>
      </w:divBdr>
    </w:div>
    <w:div w:id="15122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vacy-regulation.eu/en/article-4-definitions-GDPR.htm" TargetMode="External"/><Relationship Id="rId18" Type="http://schemas.openxmlformats.org/officeDocument/2006/relationships/hyperlink" Target="https://www.hra.nhs.uk/planning-and-improving-research/policies-standards-legislation/data-protection-and-information-governance/gdpr-detailed-guidance/legal-basis-processing-data/" TargetMode="External"/><Relationship Id="rId26" Type="http://schemas.openxmlformats.org/officeDocument/2006/relationships/hyperlink" Target="https://ico.org.uk/media/for-organisations/documents/1546/data-controllers-and-data-processors-dp-guidance.pdf" TargetMode="External"/><Relationship Id="rId39" Type="http://schemas.openxmlformats.org/officeDocument/2006/relationships/hyperlink" Target="http://www.uhbristol.nhs.uk/for-clinicians/clinicalaudit/" TargetMode="External"/><Relationship Id="rId21" Type="http://schemas.openxmlformats.org/officeDocument/2006/relationships/hyperlink" Target="https://www.hra.nhs.uk/planning-and-improving-research/policies-standards-legislation/data-protection-and-information-governance/gdpr-detailed-guidance/legal-basis-processing-data/" TargetMode="External"/><Relationship Id="rId34" Type="http://schemas.openxmlformats.org/officeDocument/2006/relationships/hyperlink" Target="https://www.myresearchproject.org.uk/help/hlpsitespecific.aspx" TargetMode="External"/><Relationship Id="rId42" Type="http://schemas.openxmlformats.org/officeDocument/2006/relationships/hyperlink" Target="mailto:" TargetMode="External"/><Relationship Id="rId47" Type="http://schemas.openxmlformats.org/officeDocument/2006/relationships/hyperlink" Target="https://s3.eu-west-2.amazonaws.com/www.hra.nhs.uk/media/documents/hra-approval-assessment-criteria-standards-document.pdf" TargetMode="External"/><Relationship Id="rId50" Type="http://schemas.openxmlformats.org/officeDocument/2006/relationships/hyperlink" Target="https://ico.org.uk/media/1061/anonymisation-code.pdf" TargetMode="External"/><Relationship Id="rId55" Type="http://schemas.openxmlformats.org/officeDocument/2006/relationships/hyperlink" Target="https://ukdataservice.ac.uk/learning-hub/research-data-manage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co.org.uk/for-organisations/guide-to-data-protection/guide-to-the-general-data-protection-regulation-gdpr/lawful-basis-for-processing/" TargetMode="External"/><Relationship Id="rId29" Type="http://schemas.openxmlformats.org/officeDocument/2006/relationships/hyperlink" Target="https://ico.org.uk/for-organisations/guide-to-data-protection/guide-to-the-general-data-protection-regulation-gdpr/controllers-and-processors/what-does-it-mean-if-you-are-joint-controllers/" TargetMode="External"/><Relationship Id="rId11" Type="http://schemas.openxmlformats.org/officeDocument/2006/relationships/hyperlink" Target="https://ico.org.uk/media/1061/anonymisation-code.pdf" TargetMode="External"/><Relationship Id="rId24" Type="http://schemas.openxmlformats.org/officeDocument/2006/relationships/hyperlink" Target="https://www.hra.nhs.uk/planning-and-improving-research/policies-standards-legislation/data-protection-and-information-governance/gdpr-guidance/templates/transparency-wording-for-all-sponsors/" TargetMode="External"/><Relationship Id="rId32" Type="http://schemas.openxmlformats.org/officeDocument/2006/relationships/hyperlink" Target="mailto:InformationGovernance@uhbw.nhs.uk" TargetMode="External"/><Relationship Id="rId37" Type="http://schemas.openxmlformats.org/officeDocument/2006/relationships/hyperlink" Target="http://www.hra-decisiontools.org.uk/research/docs/DefiningResearchTable_Oct2017-1.pdf" TargetMode="External"/><Relationship Id="rId40" Type="http://schemas.openxmlformats.org/officeDocument/2006/relationships/hyperlink" Target="http://connect/governanceandquality/QIHome/Pages/QIHome.aspx" TargetMode="External"/><Relationship Id="rId45" Type="http://schemas.openxmlformats.org/officeDocument/2006/relationships/hyperlink" Target="http://www.hra-decisiontools.org.uk/research/" TargetMode="External"/><Relationship Id="rId53" Type="http://schemas.openxmlformats.org/officeDocument/2006/relationships/hyperlink" Target="https://digital.nhs.uk/coronavirus/coronavirus-data-services-updates/trusted-research-environment-service-for-england"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ico.org.uk/for-organisations/guide-to-data-protection/guide-to-the-general-data-protection-regulation-gdpr/lawful-basis-for-processing/" TargetMode="External"/><Relationship Id="rId4" Type="http://schemas.openxmlformats.org/officeDocument/2006/relationships/settings" Target="settings.xml"/><Relationship Id="rId9" Type="http://schemas.openxmlformats.org/officeDocument/2006/relationships/hyperlink" Target="https://ico.org.uk/for-organisations/guide-to-data-protection/introduction-to-dpa-2018/some-basic-concepts/" TargetMode="External"/><Relationship Id="rId14" Type="http://schemas.openxmlformats.org/officeDocument/2006/relationships/hyperlink" Target="https://ico.org.uk/media/1061/anonymisation-code.pdf" TargetMode="External"/><Relationship Id="rId22" Type="http://schemas.openxmlformats.org/officeDocument/2006/relationships/hyperlink" Target="https://ico.org.uk/for-organisations/guide-to-data-protection/guide-to-the-general-data-protection-regulation-gdpr/lawful-basis-for-processing/special-category-data/" TargetMode="External"/><Relationship Id="rId27" Type="http://schemas.openxmlformats.org/officeDocument/2006/relationships/hyperlink" Target="https://ico.org.uk/media/for-organisations/documents/1546/data-controllers-and-data-processors-dp-guidance.pdf" TargetMode="External"/><Relationship Id="rId30" Type="http://schemas.openxmlformats.org/officeDocument/2006/relationships/hyperlink" Target="https://ico.org.uk/for-organisations/guide-to-data-protection/guide-to-the-general-data-protection-regulation-gdpr/controllers-and-processors/how-do-you-determine-whether-you-are-a-controller-or-processor/" TargetMode="External"/><Relationship Id="rId35" Type="http://schemas.openxmlformats.org/officeDocument/2006/relationships/hyperlink" Target="https://www.myresearchproject.org.uk/help/hlpsitespecific.aspx" TargetMode="External"/><Relationship Id="rId43" Type="http://schemas.openxmlformats.org/officeDocument/2006/relationships/hyperlink" Target="http://www.uhbristol.nhs.uk/for-clinicians/patient-surveys,-interviews-and-focus-groups/" TargetMode="External"/><Relationship Id="rId48" Type="http://schemas.openxmlformats.org/officeDocument/2006/relationships/hyperlink" Target="https://www.hra.nhs.uk/approvals-amendments/what-approvals-do-i-need/confidentiality-advisory-group/" TargetMode="External"/><Relationship Id="rId56" Type="http://schemas.openxmlformats.org/officeDocument/2006/relationships/hyperlink" Target="http://www.uhbristol.nhs.uk/research-innovation/for-researchers/is-it-research,-audit-or-service-evaluation/" TargetMode="External"/><Relationship Id="rId8" Type="http://schemas.openxmlformats.org/officeDocument/2006/relationships/hyperlink" Target="https://ico.org.uk/for-organisations/guide-to-data-protection/introduction-to-data-protection/about-the-dpa-2018/" TargetMode="External"/><Relationship Id="rId51" Type="http://schemas.openxmlformats.org/officeDocument/2006/relationships/hyperlink" Target="https://ico.org.uk/for-organisations/guide-to-data-protection/guide-to-the-general-data-protection-regulation-gdpr/lawful-basis-for-processing/" TargetMode="External"/><Relationship Id="rId3" Type="http://schemas.openxmlformats.org/officeDocument/2006/relationships/styles" Target="styles.xml"/><Relationship Id="rId12" Type="http://schemas.openxmlformats.org/officeDocument/2006/relationships/hyperlink" Target="https://ukdataservice.ac.uk/learning-hub/research-data-management/" TargetMode="External"/><Relationship Id="rId17" Type="http://schemas.openxmlformats.org/officeDocument/2006/relationships/hyperlink" Target="https://ico.org.uk/for-organisations/guide-to-data-protection/guide-to-the-general-data-protection-regulation-gdpr/lawful-basis-for-processing/" TargetMode="External"/><Relationship Id="rId25" Type="http://schemas.openxmlformats.org/officeDocument/2006/relationships/hyperlink" Target="http://www.hra-decisiontools.org.uk/consent/" TargetMode="External"/><Relationship Id="rId33" Type="http://schemas.openxmlformats.org/officeDocument/2006/relationships/hyperlink" Target="http://connect/aboutus/CorporateGovernance/informationgovernance/Pages/IGResources.aspx" TargetMode="External"/><Relationship Id="rId38" Type="http://schemas.openxmlformats.org/officeDocument/2006/relationships/hyperlink" Target="http://www.hra-decisiontools.org.uk/research/docs/DefiningResearchTable_Oct2017-1.pdf" TargetMode="External"/><Relationship Id="rId46" Type="http://schemas.openxmlformats.org/officeDocument/2006/relationships/hyperlink" Target="http://www.hra-decisiontools.org.uk/research/docs/DefiningResearchTable_Oct2017-1.pdf" TargetMode="External"/><Relationship Id="rId59" Type="http://schemas.openxmlformats.org/officeDocument/2006/relationships/fontTable" Target="fontTable.xml"/><Relationship Id="rId20" Type="http://schemas.openxmlformats.org/officeDocument/2006/relationships/hyperlink" Target="https://www.ukri.org/publications/gdpr-lawful-basis-research-consent-and-confidentiality/" TargetMode="External"/><Relationship Id="rId41" Type="http://schemas.openxmlformats.org/officeDocument/2006/relationships/hyperlink" Target="http://www.uhbristol.nhs.uk/patients-and-visitors/patient-experience-and-involvement/" TargetMode="External"/><Relationship Id="rId54" Type="http://schemas.openxmlformats.org/officeDocument/2006/relationships/hyperlink" Target="https://www.healthdatagateway.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for-organisations/guide-to-data-protection/guide-to-the-general-data-protection-regulation-gdpr/lawful-basis-for-processing/special-category-data/" TargetMode="External"/><Relationship Id="rId23" Type="http://schemas.openxmlformats.org/officeDocument/2006/relationships/hyperlink" Target="https://s3.eu-west-2.amazonaws.com/www.hra.nhs.uk/media/documents/UK_SW_Criteria_updated_19.11.2021.pdf" TargetMode="External"/><Relationship Id="rId28" Type="http://schemas.openxmlformats.org/officeDocument/2006/relationships/hyperlink" Target="https://ico.org.uk/for-organisations/guide-to-data-protection/guide-to-the-general-data-protection-regulation-gdpr/controllers-and-processors/what-does-it-mean-if-you-are-joint-controllers/" TargetMode="External"/><Relationship Id="rId36" Type="http://schemas.openxmlformats.org/officeDocument/2006/relationships/hyperlink" Target="https://www.myresearchproject.org.uk/help/hlptemplatesfor.aspx" TargetMode="External"/><Relationship Id="rId49" Type="http://schemas.openxmlformats.org/officeDocument/2006/relationships/hyperlink" Target="https://ico.org.uk/for-organisations/guide-to-data-protection/introduction-to-data-protection/about-the-dpa-2018/" TargetMode="External"/><Relationship Id="rId57" Type="http://schemas.openxmlformats.org/officeDocument/2006/relationships/header" Target="header1.xml"/><Relationship Id="rId10" Type="http://schemas.openxmlformats.org/officeDocument/2006/relationships/hyperlink" Target="https://ico.org.uk/for-organisations/guide-to-data-protection/guide-to-the-general-data-protection-regulation-gdpr/principles/" TargetMode="External"/><Relationship Id="rId31" Type="http://schemas.openxmlformats.org/officeDocument/2006/relationships/hyperlink" Target="https://ico.org.uk/for-organisations/guide-to-data-protection/guide-to-the-general-data-protection-regulation-gdpr/data-protection-impact-assessments-dpias/" TargetMode="External"/><Relationship Id="rId44" Type="http://schemas.openxmlformats.org/officeDocument/2006/relationships/hyperlink" Target="http://www.uhbristol.nhs.uk/for-clinicians/patient-surveys,-interviews-and-focus-groups/" TargetMode="External"/><Relationship Id="rId52" Type="http://schemas.openxmlformats.org/officeDocument/2006/relationships/hyperlink" Target="https://ico.org.uk/for-organisations/guide-to-data-protection/guide-to-the-general-data-protection-regulation-gdpr/lawful-basis-for-processing/special-category-data/"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A8D14-8DDB-4645-B4ED-F395A502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5338</Words>
  <Characters>30433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UHBristol</Company>
  <LinksUpToDate>false</LinksUpToDate>
  <CharactersWithSpaces>35700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Aliki Sifostratoudaki</dc:creator>
  <cp:lastModifiedBy>Lucy Riddolls</cp:lastModifiedBy>
  <cp:revision>3</cp:revision>
  <cp:lastPrinted>2022-05-12T12:04:00Z</cp:lastPrinted>
  <dcterms:created xsi:type="dcterms:W3CDTF">2023-02-23T15:26:00Z</dcterms:created>
  <dcterms:modified xsi:type="dcterms:W3CDTF">2023-04-13T09:53:00Z</dcterms:modified>
</cp:coreProperties>
</file>