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D756" w14:textId="77777777" w:rsidR="004671AB" w:rsidRPr="009D3584" w:rsidRDefault="004671AB" w:rsidP="000D732E">
      <w:pPr>
        <w:rPr>
          <w:b/>
          <w:color w:val="548DD4" w:themeColor="text2" w:themeTint="99"/>
          <w:sz w:val="28"/>
          <w:szCs w:val="28"/>
        </w:rPr>
      </w:pPr>
      <w:r w:rsidRPr="009D3584">
        <w:rPr>
          <w:b/>
          <w:color w:val="548DD4" w:themeColor="text2" w:themeTint="99"/>
          <w:sz w:val="28"/>
          <w:szCs w:val="28"/>
        </w:rPr>
        <w:t>End of EU Exit Transition Period: Summary of Changes</w:t>
      </w:r>
    </w:p>
    <w:p w14:paraId="47C8BFA8" w14:textId="77777777" w:rsidR="004671AB" w:rsidRDefault="004671AB" w:rsidP="000D732E">
      <w:pPr>
        <w:rPr>
          <w:b/>
        </w:rPr>
        <w:sectPr w:rsidR="004671AB" w:rsidSect="00F746B9">
          <w:headerReference w:type="default" r:id="rId8"/>
          <w:footerReference w:type="default" r:id="rId9"/>
          <w:pgSz w:w="11906" w:h="16838"/>
          <w:pgMar w:top="737" w:right="720" w:bottom="737" w:left="720" w:header="454" w:footer="227" w:gutter="0"/>
          <w:cols w:space="708"/>
          <w:docGrid w:linePitch="360"/>
        </w:sectPr>
      </w:pPr>
    </w:p>
    <w:tbl>
      <w:tblPr>
        <w:tblStyle w:val="TableGrid"/>
        <w:tblW w:w="53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9D3584" w14:paraId="3080564E" w14:textId="77777777" w:rsidTr="000D732E">
        <w:trPr>
          <w:jc w:val="center"/>
        </w:trPr>
        <w:tc>
          <w:tcPr>
            <w:tcW w:w="5387" w:type="dxa"/>
            <w:tcBorders>
              <w:bottom w:val="single" w:sz="4" w:space="0" w:color="auto"/>
            </w:tcBorders>
            <w:shd w:val="clear" w:color="auto" w:fill="auto"/>
          </w:tcPr>
          <w:p w14:paraId="7B6D7076" w14:textId="77777777" w:rsidR="009D3584" w:rsidRPr="00357DE9" w:rsidRDefault="009D3584" w:rsidP="000D732E">
            <w:pPr>
              <w:rPr>
                <w:b/>
              </w:rPr>
            </w:pPr>
          </w:p>
        </w:tc>
      </w:tr>
      <w:tr w:rsidR="004671AB" w14:paraId="4245A4D2"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467BB67E" w14:textId="77777777" w:rsidR="004671AB" w:rsidRPr="009D3584" w:rsidRDefault="004671AB" w:rsidP="000D732E">
            <w:pPr>
              <w:rPr>
                <w:b/>
                <w:color w:val="548DD4" w:themeColor="text2" w:themeTint="99"/>
              </w:rPr>
            </w:pPr>
            <w:r w:rsidRPr="009D3584">
              <w:rPr>
                <w:b/>
                <w:color w:val="548DD4" w:themeColor="text2" w:themeTint="99"/>
              </w:rPr>
              <w:t>Legislative background</w:t>
            </w:r>
          </w:p>
          <w:p w14:paraId="1314D68B" w14:textId="77777777" w:rsidR="004671AB" w:rsidRPr="00357DE9" w:rsidRDefault="004671AB" w:rsidP="000D732E">
            <w:pPr>
              <w:rPr>
                <w:rFonts w:cstheme="minorHAnsi"/>
              </w:rPr>
            </w:pPr>
          </w:p>
          <w:p w14:paraId="21775303" w14:textId="77777777" w:rsidR="004671AB" w:rsidRPr="004671AB" w:rsidRDefault="004671AB" w:rsidP="000D732E">
            <w:pPr>
              <w:jc w:val="both"/>
              <w:rPr>
                <w:rFonts w:ascii="Calibri" w:hAnsi="Calibri" w:cs="Calibri"/>
              </w:rPr>
            </w:pPr>
            <w:r w:rsidRPr="004671AB">
              <w:rPr>
                <w:rFonts w:cstheme="minorHAnsi"/>
              </w:rPr>
              <w:t>Great Britain (England, Scotland and Wales) continues to operate under the Medicines for Human Use (Clinical Trials) Regulations 2004.  The Medicines for Human Use (Clinical Trials) (Amendment) (EU Exit) Regulations 2019 allows for the MHRA to be able to take on regulatory processes for human medicines and devices that are currently undertaken by the European Medicines Agency and other bodies.</w:t>
            </w:r>
          </w:p>
          <w:p w14:paraId="79B85C9F" w14:textId="77777777" w:rsidR="004671AB" w:rsidRPr="004671AB" w:rsidRDefault="004671AB" w:rsidP="000D732E"/>
          <w:p w14:paraId="30C64B5B" w14:textId="77777777" w:rsidR="004671AB" w:rsidRDefault="004671AB" w:rsidP="000D732E">
            <w:pPr>
              <w:jc w:val="both"/>
            </w:pPr>
            <w:r w:rsidRPr="004671AB">
              <w:rPr>
                <w:rFonts w:cstheme="minorHAnsi"/>
              </w:rPr>
              <w:t>Northern Ireland continues to be aligned to EU legislation and regulations.  The Ireland/Northern Ireland Protocol came into effect on 1 January 2021 and results in changes to regulations on importation requirements for medicines.</w:t>
            </w:r>
          </w:p>
        </w:tc>
      </w:tr>
      <w:tr w:rsidR="004671AB" w14:paraId="501921D2" w14:textId="77777777" w:rsidTr="000D732E">
        <w:trPr>
          <w:jc w:val="center"/>
        </w:trPr>
        <w:tc>
          <w:tcPr>
            <w:tcW w:w="5387" w:type="dxa"/>
            <w:tcBorders>
              <w:top w:val="single" w:sz="4" w:space="0" w:color="auto"/>
              <w:bottom w:val="single" w:sz="4" w:space="0" w:color="auto"/>
            </w:tcBorders>
            <w:shd w:val="clear" w:color="auto" w:fill="auto"/>
          </w:tcPr>
          <w:p w14:paraId="04D0E010" w14:textId="77777777" w:rsidR="004671AB" w:rsidRDefault="004671AB" w:rsidP="000D732E"/>
          <w:p w14:paraId="5C307C22" w14:textId="77777777" w:rsidR="004671AB" w:rsidRDefault="004671AB" w:rsidP="000D732E"/>
          <w:p w14:paraId="4B1718A4" w14:textId="77777777" w:rsidR="009D3584" w:rsidRDefault="009D3584" w:rsidP="000D732E"/>
        </w:tc>
      </w:tr>
      <w:tr w:rsidR="004671AB" w14:paraId="10ADE87D"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6F3351BF" w14:textId="77777777" w:rsidR="004671AB" w:rsidRPr="009D3584" w:rsidRDefault="004671AB" w:rsidP="000D732E">
            <w:pPr>
              <w:rPr>
                <w:b/>
                <w:color w:val="548DD4" w:themeColor="text2" w:themeTint="99"/>
              </w:rPr>
            </w:pPr>
            <w:r w:rsidRPr="009D3584">
              <w:rPr>
                <w:b/>
                <w:color w:val="548DD4" w:themeColor="text2" w:themeTint="99"/>
              </w:rPr>
              <w:t>Registration of clinical trials</w:t>
            </w:r>
          </w:p>
          <w:p w14:paraId="1ED41223" w14:textId="77777777" w:rsidR="004671AB" w:rsidRPr="00357DE9" w:rsidRDefault="004671AB" w:rsidP="000D732E">
            <w:pPr>
              <w:rPr>
                <w:color w:val="0000FF" w:themeColor="hyperlink"/>
                <w:u w:val="single"/>
              </w:rPr>
            </w:pPr>
          </w:p>
          <w:p w14:paraId="48C88508" w14:textId="77777777" w:rsidR="004671AB" w:rsidRPr="004671AB" w:rsidRDefault="004671AB" w:rsidP="000D732E">
            <w:pPr>
              <w:jc w:val="both"/>
              <w:rPr>
                <w:color w:val="0000FF" w:themeColor="hyperlink"/>
                <w:u w:val="single"/>
              </w:rPr>
            </w:pPr>
            <w:r w:rsidRPr="00357DE9">
              <w:t>As of 1</w:t>
            </w:r>
            <w:r w:rsidRPr="004671AB">
              <w:rPr>
                <w:vertAlign w:val="superscript"/>
              </w:rPr>
              <w:t>st</w:t>
            </w:r>
            <w:r w:rsidRPr="00357DE9">
              <w:t xml:space="preserve"> January 2021, all new trials must be registered on an established international register, such as ISRCTN or clinicaltrials.gov.  UHBW’s preferred registry is ISRCTN, in line with the NIHR’s policy on clinical trials registration and disclosure of results.</w:t>
            </w:r>
          </w:p>
          <w:p w14:paraId="4FA46636" w14:textId="77777777" w:rsidR="004671AB" w:rsidRPr="00357DE9" w:rsidRDefault="004671AB" w:rsidP="000D732E">
            <w:pPr>
              <w:rPr>
                <w:rStyle w:val="Hyperlink"/>
              </w:rPr>
            </w:pPr>
          </w:p>
          <w:p w14:paraId="70F20B71" w14:textId="77777777" w:rsidR="004671AB" w:rsidRDefault="004671AB" w:rsidP="000D732E">
            <w:pPr>
              <w:jc w:val="both"/>
            </w:pPr>
            <w:r w:rsidRPr="00357DE9">
              <w:t>Trials with sites based in the EU/EEA or Northern Ireland will need to be registered in the EU Clinical Trials Registry (via EudraCT).</w:t>
            </w:r>
          </w:p>
        </w:tc>
      </w:tr>
      <w:tr w:rsidR="004671AB" w14:paraId="420D9180" w14:textId="77777777" w:rsidTr="000D732E">
        <w:trPr>
          <w:jc w:val="center"/>
        </w:trPr>
        <w:tc>
          <w:tcPr>
            <w:tcW w:w="5387" w:type="dxa"/>
            <w:tcBorders>
              <w:top w:val="single" w:sz="4" w:space="0" w:color="auto"/>
              <w:bottom w:val="single" w:sz="4" w:space="0" w:color="auto"/>
            </w:tcBorders>
            <w:shd w:val="clear" w:color="auto" w:fill="auto"/>
          </w:tcPr>
          <w:p w14:paraId="7ABCAF64" w14:textId="77777777" w:rsidR="004671AB" w:rsidRDefault="004671AB" w:rsidP="000D732E"/>
          <w:p w14:paraId="33A18112" w14:textId="77777777" w:rsidR="004671AB" w:rsidRDefault="004671AB" w:rsidP="000D732E"/>
          <w:p w14:paraId="55E15F30" w14:textId="77777777" w:rsidR="009D3584" w:rsidRDefault="009D3584" w:rsidP="000D732E"/>
        </w:tc>
      </w:tr>
      <w:tr w:rsidR="004671AB" w14:paraId="33083488"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1D93A5E8" w14:textId="77777777" w:rsidR="004671AB" w:rsidRPr="009D3584" w:rsidRDefault="004671AB" w:rsidP="000D732E">
            <w:pPr>
              <w:jc w:val="both"/>
              <w:rPr>
                <w:b/>
                <w:color w:val="548DD4" w:themeColor="text2" w:themeTint="99"/>
              </w:rPr>
            </w:pPr>
            <w:r w:rsidRPr="009D3584">
              <w:rPr>
                <w:b/>
                <w:color w:val="548DD4" w:themeColor="text2" w:themeTint="99"/>
              </w:rPr>
              <w:t>EudraCT number</w:t>
            </w:r>
          </w:p>
          <w:p w14:paraId="445076EB" w14:textId="77777777" w:rsidR="004671AB" w:rsidRPr="00357DE9" w:rsidRDefault="004671AB" w:rsidP="000D732E">
            <w:pPr>
              <w:jc w:val="center"/>
            </w:pPr>
          </w:p>
          <w:p w14:paraId="5DEEF3B4" w14:textId="77777777" w:rsidR="004671AB" w:rsidRDefault="004671AB" w:rsidP="000D732E">
            <w:pPr>
              <w:jc w:val="both"/>
            </w:pPr>
            <w:r w:rsidRPr="00357DE9">
              <w:t>In the short term, the MHRA requires a EudraCT reference number for clinical trial applications.</w:t>
            </w:r>
          </w:p>
        </w:tc>
      </w:tr>
      <w:tr w:rsidR="004671AB" w14:paraId="0FE6C063" w14:textId="77777777" w:rsidTr="000D732E">
        <w:trPr>
          <w:jc w:val="center"/>
        </w:trPr>
        <w:tc>
          <w:tcPr>
            <w:tcW w:w="5387" w:type="dxa"/>
            <w:tcBorders>
              <w:top w:val="single" w:sz="4" w:space="0" w:color="auto"/>
              <w:bottom w:val="single" w:sz="4" w:space="0" w:color="auto"/>
            </w:tcBorders>
            <w:shd w:val="clear" w:color="auto" w:fill="auto"/>
          </w:tcPr>
          <w:p w14:paraId="5CD40DB6" w14:textId="77777777" w:rsidR="004671AB" w:rsidRDefault="004671AB" w:rsidP="000D732E"/>
          <w:p w14:paraId="4E1EE3D2" w14:textId="77777777" w:rsidR="009D3584" w:rsidRDefault="009D3584" w:rsidP="000D732E"/>
          <w:p w14:paraId="1216CDED" w14:textId="77777777" w:rsidR="004671AB" w:rsidRDefault="004671AB" w:rsidP="000D732E"/>
        </w:tc>
      </w:tr>
      <w:tr w:rsidR="004671AB" w14:paraId="07271E92"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226F4DCA" w14:textId="77777777" w:rsidR="004671AB" w:rsidRPr="009D3584" w:rsidRDefault="004671AB" w:rsidP="000D732E">
            <w:pPr>
              <w:jc w:val="both"/>
              <w:rPr>
                <w:b/>
                <w:color w:val="548DD4" w:themeColor="text2" w:themeTint="99"/>
              </w:rPr>
            </w:pPr>
            <w:r w:rsidRPr="009D3584">
              <w:rPr>
                <w:b/>
                <w:color w:val="548DD4" w:themeColor="text2" w:themeTint="99"/>
              </w:rPr>
              <w:t xml:space="preserve">Clinical trial applications, </w:t>
            </w:r>
            <w:r w:rsidRPr="000D732E">
              <w:rPr>
                <w:b/>
                <w:color w:val="548DD4" w:themeColor="text2" w:themeTint="99"/>
              </w:rPr>
              <w:t>amendments and DSURs</w:t>
            </w:r>
          </w:p>
          <w:p w14:paraId="2307FE39" w14:textId="77777777" w:rsidR="004671AB" w:rsidRPr="00357DE9" w:rsidRDefault="004671AB" w:rsidP="000D732E"/>
          <w:p w14:paraId="04B0A142" w14:textId="6880D37F" w:rsidR="004671AB" w:rsidRDefault="004671AB" w:rsidP="000D732E">
            <w:pPr>
              <w:jc w:val="both"/>
            </w:pPr>
            <w:r w:rsidRPr="00357DE9">
              <w:t>As of 1</w:t>
            </w:r>
            <w:r w:rsidRPr="004671AB">
              <w:rPr>
                <w:vertAlign w:val="superscript"/>
              </w:rPr>
              <w:t>st</w:t>
            </w:r>
            <w:r w:rsidRPr="00357DE9">
              <w:t xml:space="preserve"> January 2021 the MHRA Submissions portal replaced CESP as the route for submitting clinical trial applications, amendments and DSURs to the MHRA. UHBW is a registered ‘company’ on the portal and the </w:t>
            </w:r>
            <w:r w:rsidR="00BF2BC6">
              <w:t>R&amp;D</w:t>
            </w:r>
            <w:r w:rsidRPr="00357DE9">
              <w:t xml:space="preserve"> Department is the main administrator for the account.  As administrator, the </w:t>
            </w:r>
            <w:r w:rsidR="00BF2BC6">
              <w:t>R&amp;D</w:t>
            </w:r>
            <w:r w:rsidRPr="00357DE9">
              <w:t xml:space="preserve"> Department can set up user accounts for UHBW staff and individuals working on its behalf (</w:t>
            </w:r>
            <w:proofErr w:type="gramStart"/>
            <w:r w:rsidRPr="00357DE9">
              <w:t>e.g.</w:t>
            </w:r>
            <w:proofErr w:type="gramEnd"/>
            <w:r w:rsidRPr="00357DE9">
              <w:t xml:space="preserve"> clinical trials unit staff) and give them permission to upload submissions.</w:t>
            </w:r>
          </w:p>
        </w:tc>
      </w:tr>
      <w:tr w:rsidR="009D3584" w14:paraId="0AC58D3F" w14:textId="77777777" w:rsidTr="000D732E">
        <w:trPr>
          <w:jc w:val="center"/>
        </w:trPr>
        <w:tc>
          <w:tcPr>
            <w:tcW w:w="5387" w:type="dxa"/>
            <w:tcBorders>
              <w:top w:val="single" w:sz="4" w:space="0" w:color="auto"/>
            </w:tcBorders>
            <w:shd w:val="clear" w:color="auto" w:fill="auto"/>
          </w:tcPr>
          <w:p w14:paraId="02CC865C" w14:textId="77777777" w:rsidR="009D3584" w:rsidRDefault="009D3584" w:rsidP="000D732E">
            <w:pPr>
              <w:jc w:val="both"/>
              <w:rPr>
                <w:b/>
              </w:rPr>
            </w:pPr>
          </w:p>
          <w:p w14:paraId="7B4B1730" w14:textId="77777777" w:rsidR="009D3584" w:rsidRDefault="009D3584" w:rsidP="000D732E">
            <w:pPr>
              <w:jc w:val="both"/>
              <w:rPr>
                <w:b/>
              </w:rPr>
            </w:pPr>
          </w:p>
        </w:tc>
      </w:tr>
      <w:tr w:rsidR="009D3584" w14:paraId="3BC6D510" w14:textId="77777777" w:rsidTr="000D732E">
        <w:trPr>
          <w:jc w:val="center"/>
        </w:trPr>
        <w:tc>
          <w:tcPr>
            <w:tcW w:w="5387" w:type="dxa"/>
            <w:tcBorders>
              <w:bottom w:val="single" w:sz="4" w:space="0" w:color="auto"/>
            </w:tcBorders>
            <w:shd w:val="clear" w:color="auto" w:fill="auto"/>
          </w:tcPr>
          <w:p w14:paraId="57C85738" w14:textId="77777777" w:rsidR="009D3584" w:rsidRDefault="009D3584" w:rsidP="000D732E">
            <w:pPr>
              <w:jc w:val="both"/>
              <w:rPr>
                <w:b/>
              </w:rPr>
            </w:pPr>
          </w:p>
        </w:tc>
      </w:tr>
      <w:tr w:rsidR="004671AB" w14:paraId="4239DCC7"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55E898DC" w14:textId="77777777" w:rsidR="004671AB" w:rsidRPr="009D3584" w:rsidRDefault="004671AB" w:rsidP="000D732E">
            <w:pPr>
              <w:jc w:val="both"/>
              <w:rPr>
                <w:b/>
                <w:color w:val="548DD4" w:themeColor="text2" w:themeTint="99"/>
              </w:rPr>
            </w:pPr>
            <w:r w:rsidRPr="009D3584">
              <w:rPr>
                <w:b/>
                <w:color w:val="548DD4" w:themeColor="text2" w:themeTint="99"/>
              </w:rPr>
              <w:t>Sponsor Legal Representative</w:t>
            </w:r>
          </w:p>
          <w:p w14:paraId="573D05CA" w14:textId="77777777" w:rsidR="004671AB" w:rsidRPr="00357DE9" w:rsidRDefault="004671AB" w:rsidP="000D732E"/>
          <w:p w14:paraId="5B13F65D" w14:textId="77777777" w:rsidR="004671AB" w:rsidRDefault="004671AB" w:rsidP="000D732E">
            <w:pPr>
              <w:jc w:val="both"/>
            </w:pPr>
            <w:r w:rsidRPr="00357DE9">
              <w:t>The sponsor or sponsor legal representative of a UK clinical trial must be in the UK or in a country on an approved country list, which initially includes EU/EEA countries.</w:t>
            </w:r>
          </w:p>
          <w:p w14:paraId="27DF41C7" w14:textId="77777777" w:rsidR="004671AB" w:rsidRPr="00357DE9" w:rsidRDefault="004671AB" w:rsidP="000D732E">
            <w:pPr>
              <w:jc w:val="both"/>
            </w:pPr>
          </w:p>
          <w:p w14:paraId="3AEB29AA" w14:textId="77777777" w:rsidR="004671AB" w:rsidRDefault="004671AB" w:rsidP="000D732E">
            <w:pPr>
              <w:jc w:val="both"/>
            </w:pPr>
            <w:r w:rsidRPr="00357DE9">
              <w:t>A sponsor established in the UK and conducting a clinical trial in the EU</w:t>
            </w:r>
            <w:r w:rsidR="008D36D5">
              <w:t>/EEA</w:t>
            </w:r>
            <w:r w:rsidRPr="00357DE9">
              <w:t xml:space="preserve"> must ensure that a sponsor or a legal representative is established in the EU</w:t>
            </w:r>
            <w:r w:rsidR="008D36D5">
              <w:t>/EEA</w:t>
            </w:r>
            <w:r w:rsidRPr="00357DE9">
              <w:t>.</w:t>
            </w:r>
          </w:p>
          <w:p w14:paraId="6AAA2557" w14:textId="77777777" w:rsidR="004671AB" w:rsidRPr="00357DE9" w:rsidRDefault="004671AB" w:rsidP="000D732E">
            <w:pPr>
              <w:jc w:val="both"/>
            </w:pPr>
          </w:p>
          <w:p w14:paraId="1C67587E" w14:textId="77777777" w:rsidR="004671AB" w:rsidRDefault="004671AB" w:rsidP="000D732E">
            <w:pPr>
              <w:jc w:val="both"/>
            </w:pPr>
            <w:r w:rsidRPr="00357DE9">
              <w:t>An amendment to the MHRA is not required where a UK based sponsor is adding an EU legal representative to cover EU/EEA sites.</w:t>
            </w:r>
          </w:p>
          <w:p w14:paraId="43BAA41A" w14:textId="77777777" w:rsidR="004671AB" w:rsidRPr="00357DE9" w:rsidRDefault="004671AB" w:rsidP="000D732E">
            <w:pPr>
              <w:jc w:val="both"/>
            </w:pPr>
          </w:p>
          <w:p w14:paraId="6A365A7A" w14:textId="77777777" w:rsidR="004671AB" w:rsidRDefault="004671AB" w:rsidP="000D732E">
            <w:pPr>
              <w:jc w:val="both"/>
            </w:pPr>
            <w:r w:rsidRPr="00357DE9">
              <w:t>Where the UK is a sponsor legal representative for a sponsor outside the EU/EEA, the sponsor will need to identify another legal representative for any sites based in the EU/EEA.</w:t>
            </w:r>
          </w:p>
        </w:tc>
      </w:tr>
      <w:tr w:rsidR="004671AB" w14:paraId="2816F77E" w14:textId="77777777" w:rsidTr="000D732E">
        <w:trPr>
          <w:jc w:val="center"/>
        </w:trPr>
        <w:tc>
          <w:tcPr>
            <w:tcW w:w="5387" w:type="dxa"/>
            <w:tcBorders>
              <w:top w:val="single" w:sz="4" w:space="0" w:color="auto"/>
              <w:bottom w:val="single" w:sz="4" w:space="0" w:color="auto"/>
            </w:tcBorders>
            <w:shd w:val="clear" w:color="auto" w:fill="auto"/>
          </w:tcPr>
          <w:p w14:paraId="40D78BB2" w14:textId="77777777" w:rsidR="004671AB" w:rsidRDefault="004671AB" w:rsidP="000D732E"/>
        </w:tc>
      </w:tr>
      <w:tr w:rsidR="004671AB" w14:paraId="4F796203"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14216FB9" w14:textId="77777777" w:rsidR="004671AB" w:rsidRPr="009D3584" w:rsidRDefault="004671AB" w:rsidP="000D732E">
            <w:pPr>
              <w:jc w:val="both"/>
              <w:rPr>
                <w:b/>
                <w:color w:val="548DD4" w:themeColor="text2" w:themeTint="99"/>
              </w:rPr>
            </w:pPr>
            <w:r w:rsidRPr="009D3584">
              <w:rPr>
                <w:b/>
                <w:color w:val="548DD4" w:themeColor="text2" w:themeTint="99"/>
              </w:rPr>
              <w:t>Publication of trial results</w:t>
            </w:r>
          </w:p>
          <w:p w14:paraId="61C7C29A" w14:textId="77777777" w:rsidR="004671AB" w:rsidRPr="00357DE9" w:rsidRDefault="004671AB" w:rsidP="000D732E"/>
          <w:p w14:paraId="47818934" w14:textId="77777777" w:rsidR="004671AB" w:rsidRDefault="004671AB" w:rsidP="000D732E">
            <w:pPr>
              <w:jc w:val="both"/>
            </w:pPr>
            <w:r w:rsidRPr="00357DE9">
              <w:t xml:space="preserve">Trial results should be published on the public database where the trial has been registered.  For CTIMPs, an email should be sent to </w:t>
            </w:r>
            <w:hyperlink r:id="rId10" w:history="1">
              <w:r w:rsidRPr="004671AB">
                <w:rPr>
                  <w:rFonts w:ascii="Calibri" w:hAnsi="Calibri" w:cs="Calibri"/>
                  <w:color w:val="365F91" w:themeColor="accent1" w:themeShade="BF"/>
                  <w:u w:val="single"/>
                </w:rPr>
                <w:t>CT.Submission@mhra.gov.uk</w:t>
              </w:r>
            </w:hyperlink>
            <w:r w:rsidRPr="00357DE9">
              <w:rPr>
                <w:rFonts w:ascii="Calibri" w:hAnsi="Calibri" w:cs="Calibri"/>
              </w:rPr>
              <w:t xml:space="preserve"> w</w:t>
            </w:r>
            <w:r w:rsidRPr="00357DE9">
              <w:t>ith a link to the database where the final results have been published.  This replaces EudraCT as the reporting mechanism for CTIMP final reports to the MHRA.</w:t>
            </w:r>
          </w:p>
        </w:tc>
      </w:tr>
      <w:tr w:rsidR="004671AB" w14:paraId="53931F84" w14:textId="77777777" w:rsidTr="000D732E">
        <w:trPr>
          <w:jc w:val="center"/>
        </w:trPr>
        <w:tc>
          <w:tcPr>
            <w:tcW w:w="5387" w:type="dxa"/>
            <w:tcBorders>
              <w:top w:val="single" w:sz="4" w:space="0" w:color="auto"/>
              <w:bottom w:val="single" w:sz="4" w:space="0" w:color="auto"/>
            </w:tcBorders>
            <w:shd w:val="clear" w:color="auto" w:fill="auto"/>
          </w:tcPr>
          <w:p w14:paraId="7EB1E9EC" w14:textId="77777777" w:rsidR="004671AB" w:rsidRDefault="004671AB" w:rsidP="000D732E"/>
          <w:p w14:paraId="0A6804F7" w14:textId="77777777" w:rsidR="009D3584" w:rsidRDefault="009D3584" w:rsidP="000D732E"/>
        </w:tc>
      </w:tr>
      <w:tr w:rsidR="004671AB" w14:paraId="794ABF3E"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4E2CF61A" w14:textId="77777777" w:rsidR="004671AB" w:rsidRPr="009D3584" w:rsidRDefault="004671AB" w:rsidP="000D732E">
            <w:pPr>
              <w:jc w:val="both"/>
              <w:rPr>
                <w:b/>
                <w:color w:val="548DD4" w:themeColor="text2" w:themeTint="99"/>
              </w:rPr>
            </w:pPr>
            <w:r w:rsidRPr="009D3584">
              <w:rPr>
                <w:b/>
                <w:color w:val="548DD4" w:themeColor="text2" w:themeTint="99"/>
              </w:rPr>
              <w:t>SUSARs</w:t>
            </w:r>
          </w:p>
          <w:p w14:paraId="2DEA138C" w14:textId="77777777" w:rsidR="004671AB" w:rsidRPr="00357DE9" w:rsidRDefault="004671AB" w:rsidP="000D732E">
            <w:pPr>
              <w:jc w:val="center"/>
            </w:pPr>
          </w:p>
          <w:p w14:paraId="07FC9C02" w14:textId="77777777" w:rsidR="004671AB" w:rsidRDefault="004671AB" w:rsidP="000D732E">
            <w:pPr>
              <w:jc w:val="both"/>
            </w:pPr>
            <w:r w:rsidRPr="00357DE9">
              <w:t xml:space="preserve">UHBW will continue to submit SUSARs via the MHRA’s </w:t>
            </w:r>
          </w:p>
          <w:p w14:paraId="00F9AA68" w14:textId="77777777" w:rsidR="004671AB" w:rsidRDefault="004671AB" w:rsidP="000D732E">
            <w:pPr>
              <w:jc w:val="both"/>
            </w:pPr>
            <w:r w:rsidRPr="00357DE9">
              <w:t>e-SUSAR reporting system.</w:t>
            </w:r>
          </w:p>
          <w:p w14:paraId="050B1BAC" w14:textId="77777777" w:rsidR="004671AB" w:rsidRPr="00357DE9" w:rsidRDefault="004671AB" w:rsidP="000D732E"/>
          <w:p w14:paraId="16313855" w14:textId="77777777" w:rsidR="004671AB" w:rsidRDefault="004671AB" w:rsidP="000D732E">
            <w:pPr>
              <w:jc w:val="both"/>
            </w:pPr>
            <w:r w:rsidRPr="00357DE9">
              <w:t>Clinical trials with sites in both the UK and in the EU will need dual reporting ie via the MHRA’s e-susar website (or via the MHRA Gateway or ICSR Submissions) and to the EMA’s Eudravigilance clinical trial module (EVCTM).</w:t>
            </w:r>
          </w:p>
        </w:tc>
      </w:tr>
      <w:tr w:rsidR="004671AB" w14:paraId="56238650" w14:textId="77777777" w:rsidTr="000D732E">
        <w:trPr>
          <w:jc w:val="center"/>
        </w:trPr>
        <w:tc>
          <w:tcPr>
            <w:tcW w:w="5387" w:type="dxa"/>
            <w:tcBorders>
              <w:top w:val="single" w:sz="4" w:space="0" w:color="auto"/>
              <w:bottom w:val="single" w:sz="4" w:space="0" w:color="auto"/>
            </w:tcBorders>
            <w:shd w:val="clear" w:color="auto" w:fill="auto"/>
          </w:tcPr>
          <w:p w14:paraId="4397AE75" w14:textId="77777777" w:rsidR="009D3584" w:rsidRDefault="009D3584" w:rsidP="000D732E"/>
          <w:p w14:paraId="2D0C9100" w14:textId="77777777" w:rsidR="009D3584" w:rsidRDefault="009D3584" w:rsidP="000D732E"/>
        </w:tc>
      </w:tr>
      <w:tr w:rsidR="004671AB" w14:paraId="65420C0D"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2BE498AF" w14:textId="77777777" w:rsidR="004671AB" w:rsidRPr="009D3584" w:rsidRDefault="004671AB" w:rsidP="000D732E">
            <w:pPr>
              <w:rPr>
                <w:b/>
                <w:color w:val="548DD4" w:themeColor="text2" w:themeTint="99"/>
              </w:rPr>
            </w:pPr>
            <w:r w:rsidRPr="009D3584">
              <w:rPr>
                <w:b/>
                <w:color w:val="548DD4" w:themeColor="text2" w:themeTint="99"/>
              </w:rPr>
              <w:t>Devices</w:t>
            </w:r>
          </w:p>
          <w:p w14:paraId="7BC24172" w14:textId="77777777" w:rsidR="004671AB" w:rsidRPr="00357DE9" w:rsidRDefault="004671AB" w:rsidP="000D732E"/>
          <w:p w14:paraId="6655A461" w14:textId="77777777" w:rsidR="004671AB" w:rsidRDefault="004671AB" w:rsidP="000D732E">
            <w:pPr>
              <w:jc w:val="both"/>
            </w:pPr>
            <w:r w:rsidRPr="00357DE9">
              <w:t>UK law for medical devices will remain as Medical Devices Regulations 2002 (SI 2002 No. 618 as amended).  These regulations (in the form in which they exist on 1</w:t>
            </w:r>
            <w:r w:rsidRPr="004671AB">
              <w:rPr>
                <w:vertAlign w:val="superscript"/>
              </w:rPr>
              <w:t>st</w:t>
            </w:r>
            <w:r w:rsidRPr="00357DE9">
              <w:t xml:space="preserve"> January 2021) will continue to have effect in Britain after the transition period.</w:t>
            </w:r>
          </w:p>
          <w:p w14:paraId="7E9001B7" w14:textId="77777777" w:rsidR="004671AB" w:rsidRPr="00357DE9" w:rsidRDefault="004671AB" w:rsidP="000D732E">
            <w:pPr>
              <w:jc w:val="center"/>
            </w:pPr>
          </w:p>
          <w:p w14:paraId="759EB992" w14:textId="77777777" w:rsidR="004671AB" w:rsidRPr="004671AB" w:rsidRDefault="004671AB" w:rsidP="000D732E">
            <w:pPr>
              <w:jc w:val="both"/>
              <w:rPr>
                <w:rFonts w:cstheme="minorHAnsi"/>
              </w:rPr>
            </w:pPr>
            <w:r w:rsidRPr="00357DE9">
              <w:t>From 1</w:t>
            </w:r>
            <w:r w:rsidRPr="004671AB">
              <w:rPr>
                <w:vertAlign w:val="superscript"/>
              </w:rPr>
              <w:t>st</w:t>
            </w:r>
            <w:r w:rsidRPr="00357DE9">
              <w:t xml:space="preserve"> January 2021, the route to going to market for Britain and United Kingdom Conformity Assessment (UKCA) marking requirements will continue to be based on the requirements derived from current EU legislation.</w:t>
            </w:r>
          </w:p>
        </w:tc>
      </w:tr>
      <w:tr w:rsidR="009D3584" w14:paraId="5A00684B" w14:textId="77777777" w:rsidTr="000D732E">
        <w:trPr>
          <w:jc w:val="center"/>
        </w:trPr>
        <w:tc>
          <w:tcPr>
            <w:tcW w:w="5387" w:type="dxa"/>
            <w:tcBorders>
              <w:bottom w:val="single" w:sz="4" w:space="0" w:color="auto"/>
            </w:tcBorders>
            <w:shd w:val="clear" w:color="auto" w:fill="auto"/>
          </w:tcPr>
          <w:p w14:paraId="31D52BDC" w14:textId="77777777" w:rsidR="009D3584" w:rsidRPr="009D3584" w:rsidRDefault="009D3584" w:rsidP="000D732E">
            <w:pPr>
              <w:jc w:val="both"/>
              <w:rPr>
                <w:rFonts w:cstheme="minorHAnsi"/>
              </w:rPr>
            </w:pPr>
          </w:p>
        </w:tc>
      </w:tr>
      <w:tr w:rsidR="004671AB" w14:paraId="1CEFC234" w14:textId="77777777" w:rsidTr="002C3108">
        <w:trPr>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5CADE920" w14:textId="77777777" w:rsidR="004671AB" w:rsidRPr="009D3584" w:rsidRDefault="004671AB" w:rsidP="000D732E">
            <w:pPr>
              <w:jc w:val="both"/>
              <w:rPr>
                <w:rFonts w:cstheme="minorHAnsi"/>
                <w:b/>
                <w:color w:val="548DD4" w:themeColor="text2" w:themeTint="99"/>
              </w:rPr>
            </w:pPr>
            <w:r w:rsidRPr="009D3584">
              <w:rPr>
                <w:rFonts w:cstheme="minorHAnsi"/>
                <w:b/>
                <w:color w:val="548DD4" w:themeColor="text2" w:themeTint="99"/>
              </w:rPr>
              <w:t>Qualified Person (QP)</w:t>
            </w:r>
          </w:p>
          <w:p w14:paraId="16D54F56" w14:textId="77777777" w:rsidR="004671AB" w:rsidRPr="00357DE9" w:rsidRDefault="004671AB" w:rsidP="000D732E">
            <w:pPr>
              <w:jc w:val="both"/>
              <w:rPr>
                <w:rFonts w:cstheme="minorHAnsi"/>
              </w:rPr>
            </w:pPr>
          </w:p>
          <w:p w14:paraId="10516080" w14:textId="77777777" w:rsidR="004671AB" w:rsidRPr="009D3584" w:rsidRDefault="004671AB" w:rsidP="000D732E">
            <w:pPr>
              <w:jc w:val="both"/>
              <w:rPr>
                <w:rFonts w:cstheme="minorHAnsi"/>
              </w:rPr>
            </w:pPr>
            <w:r w:rsidRPr="00357DE9">
              <w:rPr>
                <w:rFonts w:cstheme="minorHAnsi"/>
              </w:rPr>
              <w:t>Qualified Person certification arrangements for IMPs manufactured in the UK remain unchanged.</w:t>
            </w:r>
          </w:p>
        </w:tc>
      </w:tr>
      <w:tr w:rsidR="004671AB" w14:paraId="76A2A9D5" w14:textId="77777777" w:rsidTr="000D732E">
        <w:trPr>
          <w:jc w:val="center"/>
        </w:trPr>
        <w:tc>
          <w:tcPr>
            <w:tcW w:w="5387" w:type="dxa"/>
            <w:tcBorders>
              <w:top w:val="single" w:sz="4" w:space="0" w:color="auto"/>
              <w:bottom w:val="single" w:sz="4" w:space="0" w:color="auto"/>
            </w:tcBorders>
            <w:shd w:val="clear" w:color="auto" w:fill="auto"/>
          </w:tcPr>
          <w:p w14:paraId="34FA051B" w14:textId="77777777" w:rsidR="004671AB" w:rsidRDefault="004671AB" w:rsidP="000D732E"/>
        </w:tc>
      </w:tr>
      <w:tr w:rsidR="004671AB" w14:paraId="6CD8C403" w14:textId="77777777" w:rsidTr="002C3108">
        <w:trPr>
          <w:trHeight w:val="9717"/>
          <w:jc w:val="center"/>
        </w:trPr>
        <w:tc>
          <w:tcPr>
            <w:tcW w:w="5387" w:type="dxa"/>
            <w:tcBorders>
              <w:top w:val="single" w:sz="4" w:space="0" w:color="auto"/>
              <w:left w:val="single" w:sz="4" w:space="0" w:color="auto"/>
              <w:bottom w:val="single" w:sz="4" w:space="0" w:color="auto"/>
              <w:right w:val="single" w:sz="4" w:space="0" w:color="auto"/>
            </w:tcBorders>
            <w:shd w:val="clear" w:color="auto" w:fill="FFFFCC"/>
          </w:tcPr>
          <w:p w14:paraId="595A4617" w14:textId="77777777" w:rsidR="004671AB" w:rsidRPr="009D3584" w:rsidRDefault="004671AB" w:rsidP="000D732E">
            <w:pPr>
              <w:jc w:val="both"/>
              <w:rPr>
                <w:b/>
                <w:color w:val="548DD4" w:themeColor="text2" w:themeTint="99"/>
              </w:rPr>
            </w:pPr>
            <w:r w:rsidRPr="009D3584">
              <w:rPr>
                <w:b/>
                <w:color w:val="548DD4" w:themeColor="text2" w:themeTint="99"/>
              </w:rPr>
              <w:t>Import and export of goods</w:t>
            </w:r>
          </w:p>
          <w:p w14:paraId="773FC7FA" w14:textId="77777777" w:rsidR="004671AB" w:rsidRPr="00357DE9" w:rsidRDefault="004671AB" w:rsidP="000D732E">
            <w:pPr>
              <w:jc w:val="both"/>
              <w:rPr>
                <w:rFonts w:cstheme="minorHAnsi"/>
              </w:rPr>
            </w:pPr>
          </w:p>
          <w:p w14:paraId="64E7CA0A" w14:textId="77777777" w:rsidR="004671AB" w:rsidRDefault="004671AB" w:rsidP="000D732E">
            <w:pPr>
              <w:jc w:val="both"/>
              <w:rPr>
                <w:rFonts w:cstheme="minorHAnsi"/>
              </w:rPr>
            </w:pPr>
            <w:r w:rsidRPr="004671AB">
              <w:rPr>
                <w:rFonts w:cstheme="minorHAnsi"/>
              </w:rPr>
              <w:t>From 1 January 2021 an import and an export declaration is required for all goods moving between the Great Britain and the EU/EEA and between Great Britain and Northern Ireland.  This includes human tissue and medicinal products.</w:t>
            </w:r>
          </w:p>
          <w:p w14:paraId="2B3EC42A" w14:textId="77777777" w:rsidR="004671AB" w:rsidRDefault="004671AB" w:rsidP="000D732E">
            <w:pPr>
              <w:jc w:val="both"/>
              <w:rPr>
                <w:rFonts w:cstheme="minorHAnsi"/>
              </w:rPr>
            </w:pPr>
          </w:p>
          <w:p w14:paraId="21F853A1" w14:textId="77777777" w:rsidR="004671AB" w:rsidRDefault="004671AB" w:rsidP="000D732E">
            <w:pPr>
              <w:jc w:val="both"/>
            </w:pPr>
            <w:r w:rsidRPr="00357DE9">
              <w:t>Up until 31 December 2021, there will be a pragmatic approach to applying EU rules on importation requirements to Northern Ireland.  IMP QP certified in the EU/EEA may be imported to Northern Ireland via Great Britain.</w:t>
            </w:r>
          </w:p>
          <w:p w14:paraId="4EAD0F32" w14:textId="77777777" w:rsidR="004671AB" w:rsidRPr="004671AB" w:rsidRDefault="004671AB" w:rsidP="000D732E">
            <w:pPr>
              <w:rPr>
                <w:rFonts w:cstheme="minorHAnsi"/>
              </w:rPr>
            </w:pPr>
          </w:p>
          <w:p w14:paraId="602CC47C" w14:textId="478F8B31" w:rsidR="004671AB" w:rsidRDefault="004671AB" w:rsidP="000D732E">
            <w:pPr>
              <w:jc w:val="both"/>
              <w:rPr>
                <w:rFonts w:cstheme="minorHAnsi"/>
              </w:rPr>
            </w:pPr>
            <w:r w:rsidRPr="004671AB">
              <w:rPr>
                <w:rFonts w:cstheme="minorHAnsi"/>
              </w:rPr>
              <w:t xml:space="preserve">An EORI number is required to move goods.  The import declaration for goods being imported into the UK and the export declaration for goods being exported from the UK must have an EORI number beginning with ‘GB’.  The same organisation can make both the import and the export declaration.  UHBW holds a GB EORI number. Contact </w:t>
            </w:r>
            <w:r w:rsidR="00BF2BC6">
              <w:rPr>
                <w:rFonts w:cstheme="minorHAnsi"/>
              </w:rPr>
              <w:t>R&amp;D</w:t>
            </w:r>
            <w:r w:rsidRPr="004671AB">
              <w:rPr>
                <w:rFonts w:cstheme="minorHAnsi"/>
              </w:rPr>
              <w:t xml:space="preserve"> for further details if required.</w:t>
            </w:r>
          </w:p>
          <w:p w14:paraId="307AA24A" w14:textId="77777777" w:rsidR="004671AB" w:rsidRPr="004671AB" w:rsidRDefault="004671AB" w:rsidP="000D732E">
            <w:pPr>
              <w:jc w:val="both"/>
              <w:rPr>
                <w:rFonts w:cstheme="minorHAnsi"/>
              </w:rPr>
            </w:pPr>
          </w:p>
          <w:p w14:paraId="6BB0B12B" w14:textId="77777777" w:rsidR="004671AB" w:rsidRDefault="004671AB" w:rsidP="000D732E">
            <w:pPr>
              <w:jc w:val="both"/>
              <w:rPr>
                <w:lang w:eastAsia="en-GB"/>
              </w:rPr>
            </w:pPr>
            <w:r w:rsidRPr="004671AB">
              <w:rPr>
                <w:rFonts w:cstheme="minorHAnsi"/>
              </w:rPr>
              <w:t>Finished packs of IMPs can continue to be supplied from an approved country directly to sites in Great Britain if QP certified in an approved country. QP re-certification is therefore not required.  However, From 1 January 2022, sponsors are required to have in p</w:t>
            </w:r>
            <w:r w:rsidR="003C78C4">
              <w:rPr>
                <w:rFonts w:cstheme="minorHAnsi"/>
              </w:rPr>
              <w:t xml:space="preserve">lace arrangements for UK based </w:t>
            </w:r>
            <w:r w:rsidRPr="004671AB">
              <w:rPr>
                <w:rFonts w:cstheme="minorHAnsi"/>
              </w:rPr>
              <w:t xml:space="preserve">QP oversight </w:t>
            </w:r>
            <w:r w:rsidRPr="00357DE9">
              <w:rPr>
                <w:lang w:eastAsia="en-GB"/>
              </w:rPr>
              <w:t>of the supply chain i.e. assurance that IMP imported to the UK from an approved country  has appropriate  EU QP certification.</w:t>
            </w:r>
          </w:p>
          <w:p w14:paraId="7489B8FA" w14:textId="77777777" w:rsidR="004671AB" w:rsidRPr="004671AB" w:rsidRDefault="004671AB" w:rsidP="000D732E">
            <w:pPr>
              <w:jc w:val="both"/>
              <w:rPr>
                <w:rFonts w:cstheme="minorHAnsi"/>
              </w:rPr>
            </w:pPr>
          </w:p>
          <w:p w14:paraId="628A407C" w14:textId="77777777" w:rsidR="004671AB" w:rsidRPr="004671AB" w:rsidRDefault="004671AB" w:rsidP="000D732E">
            <w:pPr>
              <w:jc w:val="both"/>
              <w:rPr>
                <w:rFonts w:cstheme="minorHAnsi"/>
              </w:rPr>
            </w:pPr>
            <w:r w:rsidRPr="00357DE9">
              <w:rPr>
                <w:lang w:eastAsia="en-GB"/>
              </w:rPr>
              <w:t>QP oversight must be provided by a UK holder of Manufacturing and Import Authorisation (MIA(IMP)) and can be provided as a service across all sites.  The QP providing the oversight role may be based in the UK or an EEA country.</w:t>
            </w:r>
          </w:p>
        </w:tc>
      </w:tr>
    </w:tbl>
    <w:p w14:paraId="52E4A7AA" w14:textId="77777777" w:rsidR="004671AB" w:rsidRDefault="004671AB" w:rsidP="000D732E">
      <w:pPr>
        <w:spacing w:after="0"/>
      </w:pPr>
      <w:r>
        <w:br w:type="column"/>
      </w:r>
    </w:p>
    <w:p w14:paraId="29011946" w14:textId="77777777" w:rsidR="00F746B9" w:rsidRDefault="00F746B9" w:rsidP="000D732E">
      <w:pPr>
        <w:spacing w:after="0"/>
      </w:pPr>
    </w:p>
    <w:p w14:paraId="2A335737" w14:textId="77777777" w:rsidR="00F746B9" w:rsidRDefault="00F746B9" w:rsidP="000D732E">
      <w:pPr>
        <w:spacing w:after="0"/>
      </w:pPr>
    </w:p>
    <w:tbl>
      <w:tblPr>
        <w:tblStyle w:val="TableGrid"/>
        <w:tblW w:w="538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tblGrid>
      <w:tr w:rsidR="004671AB" w14:paraId="21730F58" w14:textId="77777777" w:rsidTr="002C3108">
        <w:tc>
          <w:tcPr>
            <w:tcW w:w="5387" w:type="dxa"/>
            <w:tcBorders>
              <w:top w:val="single" w:sz="4" w:space="0" w:color="auto"/>
              <w:left w:val="single" w:sz="4" w:space="0" w:color="auto"/>
              <w:bottom w:val="single" w:sz="4" w:space="0" w:color="auto"/>
              <w:right w:val="single" w:sz="4" w:space="0" w:color="auto"/>
            </w:tcBorders>
            <w:shd w:val="clear" w:color="auto" w:fill="FFFFCC"/>
          </w:tcPr>
          <w:p w14:paraId="0EA5A915" w14:textId="77777777" w:rsidR="004671AB" w:rsidRPr="009D3584" w:rsidRDefault="004671AB" w:rsidP="000D732E">
            <w:pPr>
              <w:jc w:val="both"/>
              <w:rPr>
                <w:b/>
                <w:color w:val="548DD4" w:themeColor="text2" w:themeTint="99"/>
              </w:rPr>
            </w:pPr>
            <w:r w:rsidRPr="009D3584">
              <w:rPr>
                <w:b/>
                <w:color w:val="548DD4" w:themeColor="text2" w:themeTint="99"/>
              </w:rPr>
              <w:t>Human Tissue</w:t>
            </w:r>
          </w:p>
          <w:p w14:paraId="045444C7" w14:textId="77777777" w:rsidR="004671AB" w:rsidRPr="00357DE9" w:rsidRDefault="004671AB" w:rsidP="000D732E"/>
          <w:p w14:paraId="2FDF37F9" w14:textId="77777777" w:rsidR="004671AB" w:rsidRDefault="004671AB" w:rsidP="000D732E">
            <w:pPr>
              <w:jc w:val="both"/>
            </w:pPr>
            <w:r w:rsidRPr="00357DE9">
              <w:t xml:space="preserve">Human tissue, referred to as ‘relevant material’ under the Human Tissue Act (2004) is regulated by the Human Tissue Authority.  The Act covers England, Wales and Northern Ireland.  There is separate legislation for Scotland (The Human Tissue (Scotland) Act (2006).  For the purposes of the Human Tissue Act (2004) .  </w:t>
            </w:r>
            <w:r w:rsidRPr="004671AB">
              <w:rPr>
                <w:sz w:val="23"/>
                <w:szCs w:val="23"/>
              </w:rPr>
              <w:t>Where import and export are taking place, these are not licensable activities under the Human Tissue Act (2004). However, the storage of the material once it is imported may be licensable if this is for a scheduled purpose, such as research within the scope of the Act.</w:t>
            </w:r>
          </w:p>
        </w:tc>
      </w:tr>
      <w:tr w:rsidR="004671AB" w14:paraId="34E2BF95" w14:textId="77777777" w:rsidTr="009D3584">
        <w:tc>
          <w:tcPr>
            <w:tcW w:w="5387" w:type="dxa"/>
            <w:tcBorders>
              <w:top w:val="single" w:sz="4" w:space="0" w:color="auto"/>
              <w:bottom w:val="single" w:sz="4" w:space="0" w:color="auto"/>
            </w:tcBorders>
          </w:tcPr>
          <w:p w14:paraId="56206C2C" w14:textId="77777777" w:rsidR="004671AB" w:rsidRDefault="004671AB" w:rsidP="000D732E"/>
        </w:tc>
      </w:tr>
      <w:tr w:rsidR="004671AB" w14:paraId="0D6C621A" w14:textId="77777777" w:rsidTr="002C3108">
        <w:tc>
          <w:tcPr>
            <w:tcW w:w="5387" w:type="dxa"/>
            <w:tcBorders>
              <w:top w:val="single" w:sz="4" w:space="0" w:color="auto"/>
              <w:left w:val="single" w:sz="4" w:space="0" w:color="auto"/>
              <w:bottom w:val="single" w:sz="4" w:space="0" w:color="auto"/>
              <w:right w:val="single" w:sz="4" w:space="0" w:color="auto"/>
            </w:tcBorders>
            <w:shd w:val="clear" w:color="auto" w:fill="FFFFCC"/>
          </w:tcPr>
          <w:p w14:paraId="79DC8AAC" w14:textId="77777777" w:rsidR="004671AB" w:rsidRPr="009D3584" w:rsidRDefault="004671AB" w:rsidP="000D732E">
            <w:pPr>
              <w:jc w:val="both"/>
              <w:rPr>
                <w:b/>
                <w:color w:val="548DD4" w:themeColor="text2" w:themeTint="99"/>
              </w:rPr>
            </w:pPr>
            <w:r w:rsidRPr="009D3584">
              <w:rPr>
                <w:b/>
                <w:color w:val="548DD4" w:themeColor="text2" w:themeTint="99"/>
              </w:rPr>
              <w:t>GDPR</w:t>
            </w:r>
          </w:p>
          <w:p w14:paraId="1CC0D6A2" w14:textId="77777777" w:rsidR="004671AB" w:rsidRPr="00357DE9" w:rsidRDefault="004671AB" w:rsidP="000D732E">
            <w:pPr>
              <w:rPr>
                <w:color w:val="FF0000"/>
              </w:rPr>
            </w:pPr>
          </w:p>
          <w:p w14:paraId="2CF6B8EE" w14:textId="77777777" w:rsidR="004671AB" w:rsidRPr="004671AB" w:rsidRDefault="004671AB" w:rsidP="000D732E">
            <w:pPr>
              <w:jc w:val="both"/>
              <w:rPr>
                <w:sz w:val="23"/>
                <w:szCs w:val="23"/>
              </w:rPr>
            </w:pPr>
            <w:r w:rsidRPr="004671AB">
              <w:rPr>
                <w:sz w:val="23"/>
                <w:szCs w:val="23"/>
              </w:rPr>
              <w:t>UK GDPR came into effect in UK law on 1st January 2021. It is based on the EU GDPR  (General Data Protection Regulation (EU) 2016/679 which applied in the UK before that date, with some changes</w:t>
            </w:r>
            <w:r w:rsidR="008A3003">
              <w:rPr>
                <w:sz w:val="23"/>
                <w:szCs w:val="23"/>
              </w:rPr>
              <w:t xml:space="preserve"> to make it work more effective</w:t>
            </w:r>
            <w:r w:rsidRPr="004671AB">
              <w:rPr>
                <w:sz w:val="23"/>
                <w:szCs w:val="23"/>
              </w:rPr>
              <w:t xml:space="preserve"> in a UK context.</w:t>
            </w:r>
          </w:p>
          <w:p w14:paraId="10213F28" w14:textId="77777777" w:rsidR="004671AB" w:rsidRDefault="004671AB" w:rsidP="000D732E">
            <w:pPr>
              <w:jc w:val="both"/>
              <w:rPr>
                <w:sz w:val="23"/>
                <w:szCs w:val="23"/>
              </w:rPr>
            </w:pPr>
          </w:p>
          <w:p w14:paraId="668099F3" w14:textId="77777777" w:rsidR="004671AB" w:rsidRPr="004671AB" w:rsidRDefault="004671AB" w:rsidP="000D732E">
            <w:pPr>
              <w:jc w:val="both"/>
              <w:rPr>
                <w:sz w:val="23"/>
                <w:szCs w:val="23"/>
              </w:rPr>
            </w:pPr>
            <w:r w:rsidRPr="004671AB">
              <w:rPr>
                <w:sz w:val="23"/>
                <w:szCs w:val="23"/>
              </w:rPr>
              <w:t>At the end of the transition period, the UK became a third country for data protection purposes.</w:t>
            </w:r>
          </w:p>
          <w:p w14:paraId="6E9EF6DC" w14:textId="77777777" w:rsidR="004671AB" w:rsidRDefault="004671AB" w:rsidP="000D732E">
            <w:pPr>
              <w:jc w:val="both"/>
              <w:rPr>
                <w:sz w:val="23"/>
                <w:szCs w:val="23"/>
              </w:rPr>
            </w:pPr>
          </w:p>
          <w:p w14:paraId="6371523A" w14:textId="77777777" w:rsidR="004671AB" w:rsidRDefault="004671AB" w:rsidP="000D732E">
            <w:pPr>
              <w:jc w:val="both"/>
            </w:pPr>
            <w:r w:rsidRPr="004671AB">
              <w:rPr>
                <w:sz w:val="23"/>
                <w:szCs w:val="23"/>
              </w:rPr>
              <w:t>Data flows between the UK and the EU/EEA and data sent to the EU/EEA and stored by EU/EEA processors will need to be compliant with UK GDPR and EU GDPR.  The EU is currently conducting an adequacy assessment of the UK and a temporary grace period of up to six months (June 2021) has been agreed between the UK and the EU which will allow the free flow of data.  As a precaution, contracts should be checked to ensure that they include clauses which will allow for the free flow of data from the EU/EEA to the UK.</w:t>
            </w:r>
          </w:p>
        </w:tc>
      </w:tr>
    </w:tbl>
    <w:p w14:paraId="11FC298F" w14:textId="77777777" w:rsidR="004671AB" w:rsidRDefault="004671AB" w:rsidP="000D732E">
      <w:pPr>
        <w:sectPr w:rsidR="004671AB" w:rsidSect="00F746B9">
          <w:type w:val="continuous"/>
          <w:pgSz w:w="11906" w:h="16838"/>
          <w:pgMar w:top="737" w:right="720" w:bottom="737" w:left="720" w:header="454" w:footer="227" w:gutter="0"/>
          <w:cols w:num="2" w:space="708"/>
          <w:docGrid w:linePitch="360"/>
        </w:sectPr>
      </w:pPr>
    </w:p>
    <w:p w14:paraId="11D30993" w14:textId="77777777" w:rsidR="009D3584" w:rsidRDefault="009D3584" w:rsidP="000D732E">
      <w:pPr>
        <w:spacing w:after="0"/>
        <w:rPr>
          <w:b/>
        </w:rPr>
      </w:pPr>
    </w:p>
    <w:p w14:paraId="68230FD6" w14:textId="77777777" w:rsidR="004671AB" w:rsidRDefault="004671AB" w:rsidP="000D732E">
      <w:pPr>
        <w:spacing w:after="0"/>
        <w:rPr>
          <w:b/>
        </w:rPr>
      </w:pPr>
      <w:r>
        <w:rPr>
          <w:b/>
        </w:rPr>
        <w:t>References</w:t>
      </w:r>
    </w:p>
    <w:p w14:paraId="242370DE" w14:textId="77777777" w:rsidR="004671AB" w:rsidRPr="00B543B4" w:rsidRDefault="004671AB" w:rsidP="000D732E">
      <w:pPr>
        <w:pStyle w:val="CommentText"/>
        <w:rPr>
          <w:rStyle w:val="Hyperlink"/>
          <w:rFonts w:cstheme="minorHAnsi"/>
          <w:sz w:val="22"/>
          <w:szCs w:val="22"/>
          <w:shd w:val="clear" w:color="auto" w:fill="FFFFFF"/>
        </w:rPr>
      </w:pPr>
      <w:r>
        <w:rPr>
          <w:rFonts w:cstheme="minorHAnsi"/>
          <w:sz w:val="22"/>
          <w:szCs w:val="22"/>
        </w:rPr>
        <w:t>SUSAR</w:t>
      </w:r>
      <w:r w:rsidRPr="00B543B4">
        <w:rPr>
          <w:rFonts w:cstheme="minorHAnsi"/>
          <w:sz w:val="22"/>
          <w:szCs w:val="22"/>
        </w:rPr>
        <w:t xml:space="preserve"> reporting </w:t>
      </w:r>
      <w:r w:rsidRPr="000D732E">
        <w:rPr>
          <w:rFonts w:cstheme="minorHAnsi"/>
          <w:sz w:val="22"/>
          <w:szCs w:val="22"/>
        </w:rPr>
        <w:t xml:space="preserve">- </w:t>
      </w:r>
      <w:hyperlink r:id="rId11" w:history="1">
        <w:r w:rsidRPr="000D732E">
          <w:rPr>
            <w:rStyle w:val="Hyperlink"/>
            <w:rFonts w:cstheme="minorHAnsi"/>
            <w:sz w:val="22"/>
            <w:szCs w:val="22"/>
          </w:rPr>
          <w:t>https://www.gov.uk/guidance/guidance-on-submitting-clinical-trial-safety-reports</w:t>
        </w:r>
      </w:hyperlink>
    </w:p>
    <w:p w14:paraId="7EADAC3E" w14:textId="77777777" w:rsidR="004671AB" w:rsidRPr="00B543B4" w:rsidRDefault="004671AB" w:rsidP="000D732E">
      <w:pPr>
        <w:pStyle w:val="CommentText"/>
        <w:rPr>
          <w:rStyle w:val="Hyperlink"/>
          <w:rFonts w:cstheme="minorHAnsi"/>
          <w:sz w:val="22"/>
          <w:szCs w:val="22"/>
        </w:rPr>
      </w:pPr>
      <w:r w:rsidRPr="00B543B4">
        <w:rPr>
          <w:rFonts w:cstheme="minorHAnsi"/>
          <w:sz w:val="22"/>
          <w:szCs w:val="22"/>
        </w:rPr>
        <w:t xml:space="preserve">Northern Ireland - </w:t>
      </w:r>
      <w:hyperlink r:id="rId12" w:history="1">
        <w:r w:rsidRPr="00B543B4">
          <w:rPr>
            <w:rStyle w:val="Hyperlink"/>
            <w:rFonts w:cstheme="minorHAnsi"/>
            <w:sz w:val="22"/>
            <w:szCs w:val="22"/>
          </w:rPr>
          <w:t>https://www.health-ni.gov.uk/eu-exit-frequently-asked-questions</w:t>
        </w:r>
      </w:hyperlink>
    </w:p>
    <w:p w14:paraId="67B5BE2F" w14:textId="77777777" w:rsidR="004671AB" w:rsidRPr="00B543B4" w:rsidRDefault="004671AB" w:rsidP="000D732E">
      <w:pPr>
        <w:pStyle w:val="CommentText"/>
        <w:rPr>
          <w:rFonts w:cstheme="minorHAnsi"/>
          <w:sz w:val="22"/>
          <w:szCs w:val="22"/>
        </w:rPr>
      </w:pPr>
      <w:r w:rsidRPr="00B543B4">
        <w:rPr>
          <w:rFonts w:cstheme="minorHAnsi"/>
          <w:sz w:val="22"/>
          <w:szCs w:val="22"/>
        </w:rPr>
        <w:t xml:space="preserve">Human Tissue - </w:t>
      </w:r>
      <w:hyperlink r:id="rId13" w:history="1">
        <w:r w:rsidRPr="00B543B4">
          <w:rPr>
            <w:rStyle w:val="Hyperlink"/>
            <w:rFonts w:cstheme="minorHAnsi"/>
            <w:sz w:val="22"/>
            <w:szCs w:val="22"/>
          </w:rPr>
          <w:t>https://www.hta.gov.uk/faqs-hta-licensing-requirements-human-tissues-and-cells-used-clinical-trials-and-medicines-0</w:t>
        </w:r>
      </w:hyperlink>
    </w:p>
    <w:p w14:paraId="424DEE0F" w14:textId="77777777" w:rsidR="004671AB" w:rsidRDefault="004671AB" w:rsidP="000D732E">
      <w:pPr>
        <w:pStyle w:val="CommentText"/>
        <w:rPr>
          <w:rFonts w:cstheme="minorHAnsi"/>
          <w:sz w:val="22"/>
          <w:szCs w:val="22"/>
        </w:rPr>
      </w:pPr>
      <w:r w:rsidRPr="00B543B4">
        <w:rPr>
          <w:rFonts w:cstheme="minorHAnsi"/>
          <w:sz w:val="22"/>
          <w:szCs w:val="22"/>
        </w:rPr>
        <w:t xml:space="preserve">GDPR -  </w:t>
      </w:r>
      <w:hyperlink r:id="rId14" w:anchor=":~:text=The%20UK%20GDPR%20is%20the,effect%20on%2001%20January%202021.&amp;text=The%20EU%20GDPR%20is%20regulated,advice%20on%20your%20EU%20obligations" w:history="1">
        <w:r w:rsidRPr="00F53BFA">
          <w:rPr>
            <w:rStyle w:val="Hyperlink"/>
            <w:rFonts w:cstheme="minorHAnsi"/>
            <w:sz w:val="22"/>
            <w:szCs w:val="22"/>
          </w:rPr>
          <w:t>https://ico.org.uk/for-organisations/guide-to-data-protection/introduction-to-data-protection/about-the-dpa-2018/#:~:text=The%20UK%20GDPR%20is%20the,effect%20on%2001%20January%202021.&amp;text=The%20EU%20GDPR%20is%20regulated,advice%20on%20your%20EU%20obligations</w:t>
        </w:r>
      </w:hyperlink>
    </w:p>
    <w:p w14:paraId="42B29F40" w14:textId="77777777" w:rsidR="004671AB" w:rsidRDefault="004671AB" w:rsidP="000D732E">
      <w:r w:rsidRPr="00AC07F4">
        <w:rPr>
          <w:rFonts w:cstheme="minorHAnsi"/>
        </w:rPr>
        <w:t>Clinical trial</w:t>
      </w:r>
      <w:r>
        <w:rPr>
          <w:rFonts w:cstheme="minorHAnsi"/>
        </w:rPr>
        <w:t>s</w:t>
      </w:r>
      <w:r w:rsidRPr="00AC07F4">
        <w:rPr>
          <w:rFonts w:cstheme="minorHAnsi"/>
        </w:rPr>
        <w:t xml:space="preserve"> registration - </w:t>
      </w:r>
      <w:hyperlink r:id="rId15" w:history="1">
        <w:r w:rsidRPr="00105824">
          <w:rPr>
            <w:rStyle w:val="Hyperlink"/>
          </w:rPr>
          <w:t>https://www.nihr.ac.uk/documents/nihr-policy-on-clinical-trial-registration-and-disclosure-of-results/12252</w:t>
        </w:r>
      </w:hyperlink>
    </w:p>
    <w:sectPr w:rsidR="004671AB" w:rsidSect="004671AB">
      <w:type w:val="continuous"/>
      <w:pgSz w:w="11906" w:h="16838"/>
      <w:pgMar w:top="737" w:right="720" w:bottom="73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9F96" w14:textId="77777777" w:rsidR="00F746B9" w:rsidRDefault="00F746B9" w:rsidP="00F746B9">
      <w:pPr>
        <w:spacing w:after="0" w:line="240" w:lineRule="auto"/>
      </w:pPr>
      <w:r>
        <w:separator/>
      </w:r>
    </w:p>
  </w:endnote>
  <w:endnote w:type="continuationSeparator" w:id="0">
    <w:p w14:paraId="5FDB84F7" w14:textId="77777777" w:rsidR="00F746B9" w:rsidRDefault="00F746B9" w:rsidP="00F7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9287" w14:textId="79A3AF7A" w:rsidR="00F746B9" w:rsidRPr="00F746B9" w:rsidRDefault="00F746B9" w:rsidP="00F746B9">
    <w:pPr>
      <w:rPr>
        <w:color w:val="A6A6A6" w:themeColor="background1" w:themeShade="A6"/>
      </w:rPr>
    </w:pPr>
    <w:r w:rsidRPr="00F746B9">
      <w:rPr>
        <w:color w:val="A6A6A6" w:themeColor="background1" w:themeShade="A6"/>
      </w:rPr>
      <w:t>GD_030 v1.</w:t>
    </w:r>
    <w:r w:rsidR="00BF2BC6">
      <w:rPr>
        <w:color w:val="A6A6A6" w:themeColor="background1" w:themeShade="A6"/>
      </w:rPr>
      <w:t>1</w:t>
    </w:r>
    <w:r w:rsidRPr="00F746B9">
      <w:rPr>
        <w:color w:val="A6A6A6" w:themeColor="background1" w:themeShade="A6"/>
      </w:rPr>
      <w:t xml:space="preserve"> </w:t>
    </w:r>
    <w:r w:rsidR="003033DF" w:rsidRPr="003033DF">
      <w:rPr>
        <w:color w:val="A6A6A6" w:themeColor="background1" w:themeShade="A6"/>
      </w:rPr>
      <w:t>22.MAR.2023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42002" w14:textId="77777777" w:rsidR="00F746B9" w:rsidRDefault="00F746B9" w:rsidP="00F746B9">
      <w:pPr>
        <w:spacing w:after="0" w:line="240" w:lineRule="auto"/>
      </w:pPr>
      <w:r>
        <w:separator/>
      </w:r>
    </w:p>
  </w:footnote>
  <w:footnote w:type="continuationSeparator" w:id="0">
    <w:p w14:paraId="7418933B" w14:textId="77777777" w:rsidR="00F746B9" w:rsidRDefault="00F746B9" w:rsidP="00F74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AD46" w14:textId="77777777" w:rsidR="00F746B9" w:rsidRDefault="00F746B9" w:rsidP="00F746B9">
    <w:pPr>
      <w:pStyle w:val="Header"/>
      <w:jc w:val="right"/>
    </w:pPr>
    <w:r>
      <w:rPr>
        <w:noProof/>
        <w:lang w:eastAsia="en-GB"/>
      </w:rPr>
      <w:drawing>
        <wp:anchor distT="0" distB="0" distL="114300" distR="114300" simplePos="0" relativeHeight="251658240" behindDoc="1" locked="0" layoutInCell="1" allowOverlap="1" wp14:anchorId="68ECDBBD" wp14:editId="61B6DC77">
          <wp:simplePos x="0" y="0"/>
          <wp:positionH relativeFrom="column">
            <wp:posOffset>5453029</wp:posOffset>
          </wp:positionH>
          <wp:positionV relativeFrom="paragraph">
            <wp:posOffset>-1687</wp:posOffset>
          </wp:positionV>
          <wp:extent cx="1186608" cy="5732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2597" cy="58092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0474"/>
    <w:multiLevelType w:val="hybridMultilevel"/>
    <w:tmpl w:val="3350F4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BF7F4C"/>
    <w:multiLevelType w:val="hybridMultilevel"/>
    <w:tmpl w:val="B63231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A5415E"/>
    <w:multiLevelType w:val="hybridMultilevel"/>
    <w:tmpl w:val="CDC470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060530">
    <w:abstractNumId w:val="0"/>
  </w:num>
  <w:num w:numId="2" w16cid:durableId="334265583">
    <w:abstractNumId w:val="2"/>
  </w:num>
  <w:num w:numId="3" w16cid:durableId="1984499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2289">
      <o:colormru v:ext="edit" colors="#ffc"/>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1AB"/>
    <w:rsid w:val="00060D7D"/>
    <w:rsid w:val="000D732E"/>
    <w:rsid w:val="002C3108"/>
    <w:rsid w:val="003033DF"/>
    <w:rsid w:val="003C78C4"/>
    <w:rsid w:val="004671AB"/>
    <w:rsid w:val="008A110F"/>
    <w:rsid w:val="008A3003"/>
    <w:rsid w:val="008D36D5"/>
    <w:rsid w:val="009D3584"/>
    <w:rsid w:val="00B90276"/>
    <w:rsid w:val="00BF2BC6"/>
    <w:rsid w:val="00E86CA0"/>
    <w:rsid w:val="00F7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fc"/>
      <o:colormenu v:ext="edit" fillcolor="none"/>
    </o:shapedefaults>
    <o:shapelayout v:ext="edit">
      <o:idmap v:ext="edit" data="1"/>
    </o:shapelayout>
  </w:shapeDefaults>
  <w:decimalSymbol w:val="."/>
  <w:listSeparator w:val=","/>
  <w14:docId w14:val="64414444"/>
  <w15:docId w15:val="{89561A28-D967-4D3F-B7B6-4AE96EA4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1AB"/>
    <w:pPr>
      <w:spacing w:after="0" w:line="240" w:lineRule="auto"/>
      <w:ind w:left="720"/>
    </w:pPr>
    <w:rPr>
      <w:rFonts w:ascii="Calibri" w:hAnsi="Calibri" w:cs="Calibri"/>
    </w:rPr>
  </w:style>
  <w:style w:type="character" w:styleId="Hyperlink">
    <w:name w:val="Hyperlink"/>
    <w:basedOn w:val="DefaultParagraphFont"/>
    <w:uiPriority w:val="99"/>
    <w:unhideWhenUsed/>
    <w:rsid w:val="004671AB"/>
    <w:rPr>
      <w:color w:val="0000FF" w:themeColor="hyperlink"/>
      <w:u w:val="single"/>
    </w:rPr>
  </w:style>
  <w:style w:type="paragraph" w:styleId="CommentText">
    <w:name w:val="annotation text"/>
    <w:basedOn w:val="Normal"/>
    <w:link w:val="CommentTextChar"/>
    <w:uiPriority w:val="99"/>
    <w:unhideWhenUsed/>
    <w:rsid w:val="004671AB"/>
    <w:pPr>
      <w:spacing w:after="0" w:line="240" w:lineRule="auto"/>
    </w:pPr>
    <w:rPr>
      <w:sz w:val="20"/>
      <w:szCs w:val="20"/>
    </w:rPr>
  </w:style>
  <w:style w:type="character" w:customStyle="1" w:styleId="CommentTextChar">
    <w:name w:val="Comment Text Char"/>
    <w:basedOn w:val="DefaultParagraphFont"/>
    <w:link w:val="CommentText"/>
    <w:uiPriority w:val="99"/>
    <w:rsid w:val="004671AB"/>
    <w:rPr>
      <w:sz w:val="20"/>
      <w:szCs w:val="20"/>
    </w:rPr>
  </w:style>
  <w:style w:type="paragraph" w:styleId="Header">
    <w:name w:val="header"/>
    <w:basedOn w:val="Normal"/>
    <w:link w:val="HeaderChar"/>
    <w:uiPriority w:val="99"/>
    <w:unhideWhenUsed/>
    <w:rsid w:val="00F74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6B9"/>
  </w:style>
  <w:style w:type="paragraph" w:styleId="Footer">
    <w:name w:val="footer"/>
    <w:basedOn w:val="Normal"/>
    <w:link w:val="FooterChar"/>
    <w:uiPriority w:val="99"/>
    <w:unhideWhenUsed/>
    <w:rsid w:val="00F74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6B9"/>
  </w:style>
  <w:style w:type="paragraph" w:styleId="BalloonText">
    <w:name w:val="Balloon Text"/>
    <w:basedOn w:val="Normal"/>
    <w:link w:val="BalloonTextChar"/>
    <w:uiPriority w:val="99"/>
    <w:semiHidden/>
    <w:unhideWhenUsed/>
    <w:rsid w:val="00F74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0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ta.gov.uk/faqs-hta-licensing-requirements-human-tissues-and-cells-used-clinical-trials-and-medicines-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ni.gov.uk/eu-exit-frequently-asked-question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uidance-on-submitting-clinical-trial-safety-reports" TargetMode="External"/><Relationship Id="rId5" Type="http://schemas.openxmlformats.org/officeDocument/2006/relationships/webSettings" Target="webSettings.xml"/><Relationship Id="rId15" Type="http://schemas.openxmlformats.org/officeDocument/2006/relationships/hyperlink" Target="https://www.nihr.ac.uk/documents/nihr-policy-on-clinical-trial-registration-and-disclosure-of-results/12252" TargetMode="External"/><Relationship Id="rId10" Type="http://schemas.openxmlformats.org/officeDocument/2006/relationships/hyperlink" Target="mailto:CT.Submission@mhra.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co.org.uk/for-organisations/guide-to-data-protection/introduction-to-data-protection/about-the-dpa-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366F-122B-4FE7-B7A1-39EFAD63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 Martin A.</dc:creator>
  <cp:lastModifiedBy>Lucy Riddolls</cp:lastModifiedBy>
  <cp:revision>3</cp:revision>
  <dcterms:created xsi:type="dcterms:W3CDTF">2023-02-28T11:00:00Z</dcterms:created>
  <dcterms:modified xsi:type="dcterms:W3CDTF">2023-04-06T13:22:00Z</dcterms:modified>
</cp:coreProperties>
</file>