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5E0E" w14:textId="77777777" w:rsidR="00FE5794" w:rsidRPr="001178A1" w:rsidRDefault="00FE5794" w:rsidP="00FE5794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D63EF" wp14:editId="567F6E90">
                <wp:simplePos x="0" y="0"/>
                <wp:positionH relativeFrom="character">
                  <wp:posOffset>-25771</wp:posOffset>
                </wp:positionH>
                <wp:positionV relativeFrom="line">
                  <wp:posOffset>-335915</wp:posOffset>
                </wp:positionV>
                <wp:extent cx="5771072" cy="606425"/>
                <wp:effectExtent l="0" t="0" r="20320" b="2603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072" cy="606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9E4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830DD8" w14:textId="4AFE6D3B" w:rsidR="00FE5794" w:rsidRPr="00FF7B4B" w:rsidRDefault="00FE5794" w:rsidP="00FE5794">
                            <w:pPr>
                              <w:spacing w:line="276" w:lineRule="auto"/>
                              <w:rPr>
                                <w:b/>
                                <w:cap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F7B4B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GD_0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18</w:t>
                            </w:r>
                            <w:r w:rsidRPr="00FF7B4B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GUIDANCE</w:t>
                            </w:r>
                            <w:r>
                              <w:rPr>
                                <w:rFonts w:eastAsia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DOCUMENT: ESSENTIAL RESEARCH </w:t>
                            </w:r>
                            <w:r w:rsidR="00B44463">
                              <w:rPr>
                                <w:rFonts w:eastAsia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RECORDS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D63EF" id="Rounded Rectangle 2" o:spid="_x0000_s1026" style="position:absolute;margin-left:-2.05pt;margin-top:-26.45pt;width:454.4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" fillcolor="#009e49" strokeweight="1pt">
                <v:textbox style="mso-fit-shape-to-text:t" inset="1mm,1mm,1mm,1mm">
                  <w:txbxContent>
                    <w:p w14:paraId="59830DD8" w14:textId="4AFE6D3B" w:rsidR="00FE5794" w:rsidRPr="00FF7B4B" w:rsidRDefault="00FE5794" w:rsidP="00FE5794">
                      <w:pPr>
                        <w:spacing w:line="276" w:lineRule="auto"/>
                        <w:rPr>
                          <w:b/>
                          <w:caps/>
                          <w:color w:val="FF0000"/>
                          <w:sz w:val="28"/>
                          <w:szCs w:val="28"/>
                        </w:rPr>
                      </w:pPr>
                      <w:r w:rsidRPr="00FF7B4B">
                        <w:rPr>
                          <w:b/>
                          <w:color w:val="FFFFFF"/>
                          <w:sz w:val="28"/>
                          <w:szCs w:val="28"/>
                        </w:rPr>
                        <w:t>GD_0</w:t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18</w:t>
                      </w:r>
                      <w:r w:rsidRPr="00FF7B4B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GUIDANCE</w:t>
                      </w:r>
                      <w:r>
                        <w:rPr>
                          <w:rFonts w:eastAsia="Calibri"/>
                          <w:b/>
                          <w:color w:val="FFFFFF"/>
                          <w:sz w:val="28"/>
                          <w:szCs w:val="28"/>
                        </w:rPr>
                        <w:t xml:space="preserve"> DOCUMENT: ESSENTIAL RESEARCH </w:t>
                      </w:r>
                      <w:r w:rsidR="00B44463">
                        <w:rPr>
                          <w:rFonts w:eastAsia="Calibri"/>
                          <w:b/>
                          <w:color w:val="FFFFFF"/>
                          <w:sz w:val="28"/>
                          <w:szCs w:val="28"/>
                        </w:rPr>
                        <w:t>RECORDS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</w:p>
    <w:p w14:paraId="15FF3A6C" w14:textId="77777777" w:rsidR="00EF73A0" w:rsidRPr="00EF73A0" w:rsidRDefault="00EF73A0">
      <w:pPr>
        <w:rPr>
          <w:b/>
        </w:rPr>
      </w:pPr>
    </w:p>
    <w:p w14:paraId="7B70F3F5" w14:textId="77777777" w:rsidR="00FE5794" w:rsidRDefault="00FE5794" w:rsidP="00050160">
      <w:pPr>
        <w:ind w:left="426" w:hanging="426"/>
        <w:rPr>
          <w:b/>
        </w:rPr>
      </w:pPr>
    </w:p>
    <w:p w14:paraId="374BFD15" w14:textId="77777777" w:rsidR="00EF73A0" w:rsidRPr="00EF73A0" w:rsidRDefault="00807469" w:rsidP="00050160">
      <w:pPr>
        <w:ind w:left="426" w:hanging="426"/>
        <w:rPr>
          <w:b/>
        </w:rPr>
      </w:pPr>
      <w:r>
        <w:rPr>
          <w:b/>
        </w:rPr>
        <w:t xml:space="preserve">1.0 </w:t>
      </w:r>
      <w:r w:rsidR="00050160">
        <w:rPr>
          <w:b/>
        </w:rPr>
        <w:tab/>
      </w:r>
      <w:r w:rsidR="00EF73A0" w:rsidRPr="00EF73A0">
        <w:rPr>
          <w:b/>
        </w:rPr>
        <w:t>Purpose</w:t>
      </w:r>
    </w:p>
    <w:p w14:paraId="7938EADD" w14:textId="70B3FA7D" w:rsidR="00EF73A0" w:rsidRDefault="00ED0320">
      <w:r>
        <w:t>This document</w:t>
      </w:r>
      <w:r w:rsidR="00EF73A0">
        <w:t xml:space="preserve"> </w:t>
      </w:r>
      <w:r>
        <w:t>should</w:t>
      </w:r>
      <w:r w:rsidR="00EF73A0">
        <w:t xml:space="preserve"> be read in conjunction with SOP</w:t>
      </w:r>
      <w:r w:rsidR="00827CAC">
        <w:t>_</w:t>
      </w:r>
      <w:r w:rsidR="009C4AA2">
        <w:t>0</w:t>
      </w:r>
      <w:r w:rsidR="00EF73A0">
        <w:t xml:space="preserve">14 Essential Research </w:t>
      </w:r>
      <w:r w:rsidR="004A50EE">
        <w:t>Records</w:t>
      </w:r>
      <w:r w:rsidR="00EF73A0">
        <w:t xml:space="preserve">.  It is not intended to be prescriptive but to provide guidance and </w:t>
      </w:r>
      <w:r w:rsidR="00680FA0">
        <w:t xml:space="preserve">some </w:t>
      </w:r>
      <w:r w:rsidR="00EF73A0">
        <w:t>examples of good practice for maintaining the sponsor Trial Master File (sponsor TMF)</w:t>
      </w:r>
      <w:r w:rsidR="005F1FD4">
        <w:t xml:space="preserve"> and for maintaining an Investigator Site File (ISF)</w:t>
      </w:r>
      <w:r w:rsidR="00EF73A0">
        <w:t>.</w:t>
      </w:r>
    </w:p>
    <w:p w14:paraId="17971121" w14:textId="77777777" w:rsidR="00EF73A0" w:rsidRDefault="00EF73A0"/>
    <w:p w14:paraId="59905899" w14:textId="5F28BE83" w:rsidR="004A50EE" w:rsidRDefault="004A50EE">
      <w:r>
        <w:t xml:space="preserve">For the purposes of the </w:t>
      </w:r>
      <w:r w:rsidRPr="004A50EE">
        <w:t>Medicines for Human Use (Clinical Trials) Regulations 2004 (and subsequent amendments),  as amended by the Medicines for Human Use (Clinical Trials) (Amendment) Regulations 2025</w:t>
      </w:r>
      <w:r>
        <w:t xml:space="preserve"> the terms ‘documents’  and ‘ documentation’ have been updated to the term ‘records’</w:t>
      </w:r>
    </w:p>
    <w:p w14:paraId="4DE75232" w14:textId="77777777" w:rsidR="004A50EE" w:rsidRDefault="004A50EE"/>
    <w:p w14:paraId="1978E7BF" w14:textId="3CB69782" w:rsidR="00050160" w:rsidRDefault="00050160" w:rsidP="00050160">
      <w:pPr>
        <w:ind w:left="426" w:hanging="426"/>
        <w:rPr>
          <w:b/>
        </w:rPr>
      </w:pPr>
      <w:r>
        <w:rPr>
          <w:b/>
        </w:rPr>
        <w:t xml:space="preserve">2.0 </w:t>
      </w:r>
      <w:r>
        <w:rPr>
          <w:b/>
        </w:rPr>
        <w:tab/>
      </w:r>
      <w:r w:rsidRPr="007E201D">
        <w:rPr>
          <w:b/>
        </w:rPr>
        <w:t>‘Good housekeeping’</w:t>
      </w:r>
      <w:r>
        <w:rPr>
          <w:b/>
        </w:rPr>
        <w:t xml:space="preserve"> for </w:t>
      </w:r>
      <w:r w:rsidR="009C4AA2">
        <w:rPr>
          <w:b/>
        </w:rPr>
        <w:t xml:space="preserve">a </w:t>
      </w:r>
      <w:r>
        <w:rPr>
          <w:b/>
        </w:rPr>
        <w:t>paper TMF</w:t>
      </w:r>
      <w:r w:rsidR="005F1FD4">
        <w:rPr>
          <w:b/>
        </w:rPr>
        <w:t xml:space="preserve"> and ISF</w:t>
      </w:r>
      <w:r>
        <w:rPr>
          <w:b/>
        </w:rPr>
        <w:t xml:space="preserve"> </w:t>
      </w:r>
    </w:p>
    <w:p w14:paraId="4E5F4C2C" w14:textId="439D8512" w:rsidR="00827CAC" w:rsidRPr="0054336E" w:rsidRDefault="004A50EE" w:rsidP="009C5BE2">
      <w:pPr>
        <w:pStyle w:val="ListParagraph"/>
        <w:numPr>
          <w:ilvl w:val="0"/>
          <w:numId w:val="15"/>
        </w:numPr>
      </w:pPr>
      <w:r>
        <w:t>Records</w:t>
      </w:r>
      <w:r w:rsidR="00827CAC" w:rsidRPr="0054336E">
        <w:t xml:space="preserve"> should be filed in the TMF </w:t>
      </w:r>
      <w:r w:rsidR="00274825">
        <w:t xml:space="preserve">and ISF </w:t>
      </w:r>
      <w:r w:rsidR="00827CAC" w:rsidRPr="0054336E">
        <w:t>contemporaneously and the TMF</w:t>
      </w:r>
      <w:r w:rsidR="00274825">
        <w:t xml:space="preserve"> or ISF</w:t>
      </w:r>
      <w:r w:rsidR="00827CAC" w:rsidRPr="0054336E">
        <w:t xml:space="preserve"> should therefore be ‘inspection ready’ at all times.</w:t>
      </w:r>
    </w:p>
    <w:p w14:paraId="38FA2042" w14:textId="01BB7F04" w:rsidR="00050160" w:rsidRDefault="00050160" w:rsidP="009C5BE2">
      <w:pPr>
        <w:pStyle w:val="ListParagraph"/>
        <w:numPr>
          <w:ilvl w:val="0"/>
          <w:numId w:val="15"/>
        </w:numPr>
        <w:rPr>
          <w:i/>
        </w:rPr>
      </w:pPr>
      <w:r>
        <w:t xml:space="preserve">Duplication of </w:t>
      </w:r>
      <w:r w:rsidR="004A50EE">
        <w:t>records</w:t>
      </w:r>
      <w:r>
        <w:t xml:space="preserve"> should be avoided.</w:t>
      </w:r>
      <w:r w:rsidR="0054336E">
        <w:t xml:space="preserve"> </w:t>
      </w:r>
      <w:r w:rsidR="00861C71">
        <w:t xml:space="preserve"> Chain emails can be helpful </w:t>
      </w:r>
      <w:r w:rsidR="0084105B">
        <w:t xml:space="preserve">for ease of reference and </w:t>
      </w:r>
      <w:r w:rsidR="00861C71">
        <w:t xml:space="preserve">in reducing the volume of </w:t>
      </w:r>
      <w:r w:rsidR="00C40466">
        <w:t>filing</w:t>
      </w:r>
      <w:r w:rsidR="00861C71">
        <w:t xml:space="preserve">, provided that the conversation thread is clearly set out.  Ideally, </w:t>
      </w:r>
      <w:r w:rsidR="007B7DDF">
        <w:t>records</w:t>
      </w:r>
      <w:r w:rsidR="00861C71">
        <w:t xml:space="preserve"> and correspondence should be stored in one location only; however, there may be situations where it is useful to file them in more than one location and, in which case, particular care should be taken to ensure that </w:t>
      </w:r>
      <w:r w:rsidR="00C40466">
        <w:t xml:space="preserve">the correspondence is complete and </w:t>
      </w:r>
      <w:r w:rsidR="007B2A82">
        <w:t xml:space="preserve">the </w:t>
      </w:r>
      <w:r w:rsidR="004A50EE">
        <w:t>records</w:t>
      </w:r>
      <w:r w:rsidR="007B2A82">
        <w:t xml:space="preserve"> </w:t>
      </w:r>
      <w:r w:rsidR="00E8010B">
        <w:t>up to date</w:t>
      </w:r>
      <w:r w:rsidR="00C40466">
        <w:t xml:space="preserve"> in all the locations where they are held</w:t>
      </w:r>
      <w:r w:rsidR="00861C71">
        <w:t xml:space="preserve">.   </w:t>
      </w:r>
      <w:r w:rsidR="009C4AA2">
        <w:t>As part of the preparation of the TMF</w:t>
      </w:r>
      <w:r w:rsidR="00274825">
        <w:t xml:space="preserve"> or ISF</w:t>
      </w:r>
      <w:r w:rsidR="009C4AA2">
        <w:t xml:space="preserve"> for archiving, any </w:t>
      </w:r>
      <w:r w:rsidR="00861C71">
        <w:t xml:space="preserve">unnecessary </w:t>
      </w:r>
      <w:r w:rsidR="009C4AA2">
        <w:t xml:space="preserve">duplicate </w:t>
      </w:r>
      <w:r w:rsidR="007B7DDF">
        <w:t>records</w:t>
      </w:r>
      <w:r w:rsidR="009C4AA2">
        <w:t xml:space="preserve"> and email correspondence should be identified and removed</w:t>
      </w:r>
      <w:r w:rsidR="00861C71">
        <w:t>.</w:t>
      </w:r>
    </w:p>
    <w:p w14:paraId="6EB44982" w14:textId="626F4406" w:rsidR="00050160" w:rsidRDefault="00050160" w:rsidP="009C5BE2">
      <w:pPr>
        <w:pStyle w:val="ListParagraph"/>
        <w:numPr>
          <w:ilvl w:val="0"/>
          <w:numId w:val="15"/>
        </w:numPr>
        <w:rPr>
          <w:i/>
        </w:rPr>
      </w:pPr>
      <w:r>
        <w:t>Each section of the TMF</w:t>
      </w:r>
      <w:r w:rsidR="00274825">
        <w:t xml:space="preserve"> and ISF</w:t>
      </w:r>
      <w:r>
        <w:t xml:space="preserve"> should be filed in chronological date order</w:t>
      </w:r>
      <w:r w:rsidR="0054336E">
        <w:t xml:space="preserve">, preferably with the most recent correspondence at the front of the </w:t>
      </w:r>
      <w:r w:rsidR="00E8010B">
        <w:t>file.</w:t>
      </w:r>
      <w:r>
        <w:t xml:space="preserve"> </w:t>
      </w:r>
    </w:p>
    <w:p w14:paraId="1574EFA6" w14:textId="11046764" w:rsidR="00810F89" w:rsidRDefault="00810F89" w:rsidP="009C5BE2">
      <w:pPr>
        <w:pStyle w:val="ListParagraph"/>
        <w:numPr>
          <w:ilvl w:val="0"/>
          <w:numId w:val="15"/>
        </w:numPr>
      </w:pPr>
      <w:r>
        <w:t>C</w:t>
      </w:r>
      <w:r w:rsidR="00050160">
        <w:t xml:space="preserve">heck that all pages are present in </w:t>
      </w:r>
      <w:r w:rsidR="007B7DDF">
        <w:t xml:space="preserve">records </w:t>
      </w:r>
      <w:r>
        <w:t xml:space="preserve"> at the time of filing</w:t>
      </w:r>
      <w:r w:rsidR="009C4AA2">
        <w:t>.</w:t>
      </w:r>
      <w:r w:rsidR="00050160">
        <w:t xml:space="preserve"> </w:t>
      </w:r>
    </w:p>
    <w:p w14:paraId="421A6AAD" w14:textId="062A1436" w:rsidR="00050160" w:rsidRDefault="00050160" w:rsidP="009C5BE2">
      <w:pPr>
        <w:pStyle w:val="ListParagraph"/>
        <w:numPr>
          <w:ilvl w:val="0"/>
          <w:numId w:val="15"/>
        </w:numPr>
      </w:pPr>
      <w:r>
        <w:t xml:space="preserve">Draft </w:t>
      </w:r>
      <w:r w:rsidR="007B7DDF">
        <w:t>records</w:t>
      </w:r>
      <w:r>
        <w:t xml:space="preserve"> only need to be retained if they provide necessary evidence of </w:t>
      </w:r>
      <w:r w:rsidR="004A50EE">
        <w:t>records</w:t>
      </w:r>
      <w:r>
        <w:t xml:space="preserve"> production or the review process.  However, if there are other ways of providing this evidence</w:t>
      </w:r>
      <w:r w:rsidR="00810F89">
        <w:t xml:space="preserve"> (</w:t>
      </w:r>
      <w:r w:rsidR="00713B4C">
        <w:t>e</w:t>
      </w:r>
      <w:r w:rsidR="00274825">
        <w:t>.</w:t>
      </w:r>
      <w:r w:rsidR="00713B4C">
        <w:t>g</w:t>
      </w:r>
      <w:r w:rsidR="00274825">
        <w:t>.</w:t>
      </w:r>
      <w:r w:rsidR="00810F89">
        <w:t xml:space="preserve"> acknowledgement of receipt)</w:t>
      </w:r>
      <w:r>
        <w:t>, they do not need to be kept in the TMF</w:t>
      </w:r>
      <w:r w:rsidR="00274825">
        <w:t xml:space="preserve"> or ISF</w:t>
      </w:r>
      <w:r>
        <w:t>.</w:t>
      </w:r>
    </w:p>
    <w:p w14:paraId="0A7B519B" w14:textId="720F15BB" w:rsidR="00050160" w:rsidRDefault="00050160" w:rsidP="009C5BE2">
      <w:pPr>
        <w:pStyle w:val="ListParagraph"/>
        <w:numPr>
          <w:ilvl w:val="0"/>
          <w:numId w:val="15"/>
        </w:numPr>
      </w:pPr>
      <w:r>
        <w:t>Email correspondence which reconstructs key activities or decisions taken should be retained in the TMF</w:t>
      </w:r>
      <w:r w:rsidR="00274825">
        <w:t xml:space="preserve"> and ISF</w:t>
      </w:r>
      <w:r>
        <w:t xml:space="preserve">. </w:t>
      </w:r>
      <w:r w:rsidR="00810F89">
        <w:t xml:space="preserve"> </w:t>
      </w:r>
      <w:r>
        <w:t xml:space="preserve">It is recommended that the remaining </w:t>
      </w:r>
      <w:r w:rsidR="00810F89">
        <w:t xml:space="preserve">‘background’ </w:t>
      </w:r>
      <w:r>
        <w:t xml:space="preserve">email correspondence should be retained and archived </w:t>
      </w:r>
      <w:r w:rsidR="00810F89">
        <w:t xml:space="preserve">securely </w:t>
      </w:r>
      <w:r>
        <w:t>(e</w:t>
      </w:r>
      <w:r w:rsidR="009C4AA2">
        <w:t>.</w:t>
      </w:r>
      <w:r>
        <w:t>g</w:t>
      </w:r>
      <w:r w:rsidR="009C4AA2">
        <w:t>.</w:t>
      </w:r>
      <w:r>
        <w:t xml:space="preserve"> </w:t>
      </w:r>
      <w:r w:rsidR="00810F89">
        <w:t xml:space="preserve"> in a dedicated archiving area </w:t>
      </w:r>
      <w:r>
        <w:t xml:space="preserve">on the server or downloaded to an encrypted memory stick and kept in a locked </w:t>
      </w:r>
      <w:r w:rsidR="00810F89">
        <w:t>cabinet</w:t>
      </w:r>
      <w:r w:rsidR="00E8010B">
        <w:t>) in case</w:t>
      </w:r>
      <w:r w:rsidR="00810F89">
        <w:t xml:space="preserve"> this need</w:t>
      </w:r>
      <w:r w:rsidR="009C4AA2">
        <w:t>s</w:t>
      </w:r>
      <w:r w:rsidR="0054336E">
        <w:t xml:space="preserve"> </w:t>
      </w:r>
      <w:r w:rsidR="00810F89">
        <w:t>to be referred to during an inspection</w:t>
      </w:r>
      <w:r w:rsidR="00274825">
        <w:t xml:space="preserve"> or monitoring visit</w:t>
      </w:r>
      <w:r>
        <w:t xml:space="preserve">. </w:t>
      </w:r>
      <w:r w:rsidR="006A7913">
        <w:t xml:space="preserve"> Ideally, i</w:t>
      </w:r>
      <w:r>
        <w:t xml:space="preserve">t should </w:t>
      </w:r>
      <w:r w:rsidR="006A7913">
        <w:t xml:space="preserve">be retained as a </w:t>
      </w:r>
      <w:proofErr w:type="spellStart"/>
      <w:r>
        <w:t>pst</w:t>
      </w:r>
      <w:proofErr w:type="spellEnd"/>
      <w:r>
        <w:t xml:space="preserve"> </w:t>
      </w:r>
      <w:r w:rsidR="00713B4C">
        <w:t xml:space="preserve">(personal storage table) </w:t>
      </w:r>
      <w:r>
        <w:t xml:space="preserve">file </w:t>
      </w:r>
      <w:r w:rsidR="00277909">
        <w:t>i</w:t>
      </w:r>
      <w:r w:rsidR="00274825">
        <w:t>.</w:t>
      </w:r>
      <w:r w:rsidR="00277909">
        <w:t>e</w:t>
      </w:r>
      <w:r w:rsidR="00274825">
        <w:t>.</w:t>
      </w:r>
      <w:r w:rsidR="00277909">
        <w:t xml:space="preserve"> </w:t>
      </w:r>
      <w:r w:rsidR="00911535">
        <w:t xml:space="preserve">archived </w:t>
      </w:r>
      <w:r w:rsidR="00713B4C">
        <w:t>as a Microsoft Outlook data file</w:t>
      </w:r>
      <w:r w:rsidR="00911535">
        <w:t xml:space="preserve">, </w:t>
      </w:r>
      <w:r>
        <w:t xml:space="preserve">rather than pdf or printed, to ensure that the associated metadata is retained. </w:t>
      </w:r>
    </w:p>
    <w:p w14:paraId="37F66A38" w14:textId="77777777" w:rsidR="00050160" w:rsidRPr="00EF73A0" w:rsidRDefault="00050160" w:rsidP="00050160"/>
    <w:p w14:paraId="0355C80E" w14:textId="77777777" w:rsidR="00050160" w:rsidRDefault="00050160">
      <w:pPr>
        <w:rPr>
          <w:b/>
        </w:rPr>
      </w:pPr>
    </w:p>
    <w:p w14:paraId="0CE86F2C" w14:textId="454B4BD1" w:rsidR="00EF73A0" w:rsidRPr="00EF73A0" w:rsidRDefault="006A7913" w:rsidP="00BB2C98">
      <w:pPr>
        <w:ind w:left="426" w:hanging="426"/>
        <w:rPr>
          <w:b/>
        </w:rPr>
      </w:pPr>
      <w:r>
        <w:rPr>
          <w:b/>
        </w:rPr>
        <w:t>3</w:t>
      </w:r>
      <w:r w:rsidR="00807469">
        <w:rPr>
          <w:b/>
        </w:rPr>
        <w:t xml:space="preserve">.0 </w:t>
      </w:r>
      <w:r w:rsidR="00BB2C98">
        <w:rPr>
          <w:b/>
        </w:rPr>
        <w:tab/>
      </w:r>
      <w:r w:rsidR="00EF73A0" w:rsidRPr="00EF73A0">
        <w:rPr>
          <w:b/>
        </w:rPr>
        <w:t>E-TMF</w:t>
      </w:r>
      <w:r w:rsidR="00E8010B">
        <w:rPr>
          <w:b/>
        </w:rPr>
        <w:t xml:space="preserve"> and e-ISF</w:t>
      </w:r>
    </w:p>
    <w:p w14:paraId="17F0F31C" w14:textId="5D93461C" w:rsidR="00017251" w:rsidRDefault="00EF73A0" w:rsidP="00F74C9D">
      <w:pPr>
        <w:ind w:left="567"/>
      </w:pPr>
      <w:r>
        <w:t>Although the same principles and standards equally apply to paper TMF</w:t>
      </w:r>
      <w:r w:rsidR="00017251">
        <w:t>, ISF</w:t>
      </w:r>
      <w:r>
        <w:t xml:space="preserve"> and e-TMF</w:t>
      </w:r>
      <w:r w:rsidR="006A7913">
        <w:t xml:space="preserve"> </w:t>
      </w:r>
      <w:r w:rsidR="00017251">
        <w:t xml:space="preserve">and e-ISFs </w:t>
      </w:r>
      <w:r w:rsidR="006A7913">
        <w:t>(as set out in SOP</w:t>
      </w:r>
      <w:r w:rsidR="00827CAC">
        <w:t>_</w:t>
      </w:r>
      <w:r w:rsidR="006A7913">
        <w:t>014 Essential Research</w:t>
      </w:r>
      <w:r w:rsidR="007B7DDF">
        <w:t xml:space="preserve"> </w:t>
      </w:r>
      <w:r w:rsidR="004A50EE">
        <w:t>Records</w:t>
      </w:r>
      <w:r w:rsidR="006A7913">
        <w:t>)</w:t>
      </w:r>
      <w:r>
        <w:t>, there are particular issues relating to the e-TMF</w:t>
      </w:r>
      <w:r w:rsidR="00017251">
        <w:t xml:space="preserve"> and e-ISFs</w:t>
      </w:r>
      <w:r w:rsidR="00827CAC">
        <w:t xml:space="preserve"> that will need to be addressed</w:t>
      </w:r>
      <w:r w:rsidR="0099723C">
        <w:t xml:space="preserve">. </w:t>
      </w:r>
      <w:r w:rsidR="00017251">
        <w:t>Please note for e-TMFs i</w:t>
      </w:r>
      <w:r w:rsidR="0099723C">
        <w:t xml:space="preserve">t is recommended that an e-TMF plan is put in place prior to its use ensuring management arrangements are documented and all requirements have been considered. </w:t>
      </w:r>
    </w:p>
    <w:p w14:paraId="122C2968" w14:textId="77777777" w:rsidR="00017251" w:rsidRDefault="00017251" w:rsidP="00713B4C">
      <w:pPr>
        <w:ind w:left="567"/>
      </w:pPr>
    </w:p>
    <w:p w14:paraId="4BFD934C" w14:textId="47C18F75" w:rsidR="00EF73A0" w:rsidRDefault="00017251" w:rsidP="00713B4C">
      <w:pPr>
        <w:ind w:left="567"/>
      </w:pPr>
      <w:r>
        <w:t>The</w:t>
      </w:r>
      <w:r w:rsidR="0099723C">
        <w:t xml:space="preserve"> requirements</w:t>
      </w:r>
      <w:r>
        <w:t xml:space="preserve"> for both an e-TMF and e-ISF</w:t>
      </w:r>
      <w:r w:rsidR="0099723C">
        <w:t xml:space="preserve"> are</w:t>
      </w:r>
      <w:r w:rsidR="00EF73A0">
        <w:t xml:space="preserve"> expanded upon </w:t>
      </w:r>
      <w:r w:rsidR="006A7913">
        <w:t>below:</w:t>
      </w:r>
    </w:p>
    <w:p w14:paraId="5A0899CF" w14:textId="77777777" w:rsidR="00EF73A0" w:rsidRDefault="00EF73A0"/>
    <w:p w14:paraId="170173D1" w14:textId="77777777" w:rsidR="00EF73A0" w:rsidRDefault="006A7913" w:rsidP="00BB2C98">
      <w:pPr>
        <w:ind w:left="851" w:hanging="426"/>
        <w:rPr>
          <w:i/>
        </w:rPr>
      </w:pPr>
      <w:r>
        <w:rPr>
          <w:i/>
        </w:rPr>
        <w:lastRenderedPageBreak/>
        <w:t>3</w:t>
      </w:r>
      <w:r w:rsidR="00BB2C98">
        <w:rPr>
          <w:i/>
        </w:rPr>
        <w:t xml:space="preserve">.1 </w:t>
      </w:r>
      <w:r w:rsidR="00BB2C98">
        <w:rPr>
          <w:i/>
        </w:rPr>
        <w:tab/>
      </w:r>
      <w:r w:rsidR="00EF73A0">
        <w:rPr>
          <w:i/>
        </w:rPr>
        <w:t>Accessibility</w:t>
      </w:r>
    </w:p>
    <w:p w14:paraId="2DC4D5B2" w14:textId="2720C440" w:rsidR="006A7913" w:rsidRDefault="006A7913" w:rsidP="00BB2C98">
      <w:pPr>
        <w:pStyle w:val="ListParagraph"/>
        <w:numPr>
          <w:ilvl w:val="0"/>
          <w:numId w:val="4"/>
        </w:numPr>
        <w:ind w:left="1134" w:hanging="294"/>
      </w:pPr>
      <w:r>
        <w:t>Consideration needs to be given to ease</w:t>
      </w:r>
      <w:r w:rsidR="00BD6CBF">
        <w:t xml:space="preserve"> of access </w:t>
      </w:r>
      <w:r>
        <w:t>by MHRA inspectors</w:t>
      </w:r>
      <w:r w:rsidR="00017251">
        <w:t xml:space="preserve"> or sponsor monitors</w:t>
      </w:r>
      <w:r>
        <w:t xml:space="preserve"> to the e-TMF</w:t>
      </w:r>
      <w:r w:rsidR="00017251">
        <w:t xml:space="preserve"> or e-ISF</w:t>
      </w:r>
      <w:r>
        <w:t>.</w:t>
      </w:r>
      <w:r w:rsidR="00ED0320">
        <w:t xml:space="preserve">  </w:t>
      </w:r>
      <w:r>
        <w:t>They should be</w:t>
      </w:r>
      <w:r w:rsidR="00ED0320">
        <w:t xml:space="preserve"> able to have ‘read only’ access and not be </w:t>
      </w:r>
      <w:r>
        <w:t>reliant</w:t>
      </w:r>
      <w:r w:rsidR="00ED0320">
        <w:t xml:space="preserve"> on a ‘super-user’ to access different parts of the e-TMF</w:t>
      </w:r>
      <w:r w:rsidR="00017251">
        <w:t xml:space="preserve"> or e-ISF</w:t>
      </w:r>
      <w:r w:rsidR="00ED0320">
        <w:t xml:space="preserve">.  </w:t>
      </w:r>
    </w:p>
    <w:p w14:paraId="7346CD0D" w14:textId="2C4C6859" w:rsidR="006A7913" w:rsidRDefault="00ED0320" w:rsidP="00BB2C98">
      <w:pPr>
        <w:pStyle w:val="ListParagraph"/>
        <w:numPr>
          <w:ilvl w:val="0"/>
          <w:numId w:val="4"/>
        </w:numPr>
        <w:ind w:left="1134" w:hanging="294"/>
      </w:pPr>
      <w:r>
        <w:t xml:space="preserve">The e-TMF </w:t>
      </w:r>
      <w:r w:rsidR="00017251">
        <w:t xml:space="preserve">or e-ISF </w:t>
      </w:r>
      <w:r>
        <w:t xml:space="preserve">should also be clearly organised through use of </w:t>
      </w:r>
      <w:r w:rsidR="0009415E">
        <w:t xml:space="preserve">clear and consistent </w:t>
      </w:r>
      <w:r>
        <w:t>file labelling and indexing so that it is easy to navigate.</w:t>
      </w:r>
      <w:r w:rsidR="00BD6CBF">
        <w:t xml:space="preserve"> </w:t>
      </w:r>
    </w:p>
    <w:p w14:paraId="4F78E33E" w14:textId="653A33C0" w:rsidR="00F74C9D" w:rsidRDefault="00F74C9D" w:rsidP="00E8010B">
      <w:pPr>
        <w:pStyle w:val="ListParagraph"/>
        <w:numPr>
          <w:ilvl w:val="0"/>
          <w:numId w:val="4"/>
        </w:numPr>
        <w:ind w:left="1134" w:hanging="294"/>
      </w:pPr>
      <w:r>
        <w:t xml:space="preserve">Extensive training should not be required by MHRA inspectors or sponsor monitors to </w:t>
      </w:r>
      <w:r w:rsidR="00A85C64">
        <w:t xml:space="preserve">enable them to </w:t>
      </w:r>
      <w:r>
        <w:t>navigate the e-TMF or e-ISF.</w:t>
      </w:r>
    </w:p>
    <w:p w14:paraId="7E355F2F" w14:textId="0B3A4689" w:rsidR="00ED0320" w:rsidRDefault="00BD6CBF" w:rsidP="00BB2C98">
      <w:pPr>
        <w:pStyle w:val="ListParagraph"/>
        <w:numPr>
          <w:ilvl w:val="0"/>
          <w:numId w:val="4"/>
        </w:numPr>
        <w:ind w:left="1134" w:hanging="294"/>
      </w:pPr>
      <w:r>
        <w:t>The MHRA does not consider it acceptable to be provided with a copy or a snapshot</w:t>
      </w:r>
      <w:r w:rsidR="0009415E">
        <w:t xml:space="preserve"> of the e-TMF</w:t>
      </w:r>
      <w:r w:rsidR="00017251">
        <w:t xml:space="preserve"> or e-ISF</w:t>
      </w:r>
      <w:r>
        <w:t>.</w:t>
      </w:r>
    </w:p>
    <w:p w14:paraId="4616D948" w14:textId="77777777" w:rsidR="00E8010B" w:rsidRDefault="0099723C" w:rsidP="00BB2C98">
      <w:pPr>
        <w:pStyle w:val="ListParagraph"/>
        <w:numPr>
          <w:ilvl w:val="0"/>
          <w:numId w:val="4"/>
        </w:numPr>
        <w:ind w:left="1134" w:hanging="294"/>
      </w:pPr>
      <w:r>
        <w:t xml:space="preserve">Validation of the </w:t>
      </w:r>
      <w:r w:rsidR="00017251">
        <w:t>e-</w:t>
      </w:r>
      <w:r>
        <w:t>TMF</w:t>
      </w:r>
      <w:r w:rsidR="00017251">
        <w:t xml:space="preserve"> and e-ISF</w:t>
      </w:r>
      <w:r>
        <w:t xml:space="preserve"> must be carried out prior to its use to ensure it is fit for purpose and required functionality (e.g. restricted access to certain users is in place</w:t>
      </w:r>
    </w:p>
    <w:p w14:paraId="516718C3" w14:textId="6916AB91" w:rsidR="0099723C" w:rsidRPr="00E8010B" w:rsidRDefault="00E8010B" w:rsidP="00BB2C98">
      <w:pPr>
        <w:pStyle w:val="ListParagraph"/>
        <w:numPr>
          <w:ilvl w:val="0"/>
          <w:numId w:val="4"/>
        </w:numPr>
        <w:ind w:left="1134" w:hanging="294"/>
      </w:pPr>
      <w:r w:rsidRPr="00A05C1F">
        <w:rPr>
          <w:bCs/>
        </w:rPr>
        <w:t>Individual passwords should be required for access to the</w:t>
      </w:r>
      <w:r>
        <w:rPr>
          <w:bCs/>
        </w:rPr>
        <w:t xml:space="preserve"> e-TMF or</w:t>
      </w:r>
      <w:r w:rsidRPr="00A05C1F">
        <w:rPr>
          <w:bCs/>
        </w:rPr>
        <w:t xml:space="preserve"> e-ISF to ensure only authorised users</w:t>
      </w:r>
      <w:r>
        <w:rPr>
          <w:bCs/>
        </w:rPr>
        <w:t xml:space="preserve"> have access.</w:t>
      </w:r>
    </w:p>
    <w:p w14:paraId="06BEECE8" w14:textId="25C0B7B6" w:rsidR="00E8010B" w:rsidRPr="00E8010B" w:rsidRDefault="00E8010B" w:rsidP="00BB2C98">
      <w:pPr>
        <w:pStyle w:val="ListParagraph"/>
        <w:numPr>
          <w:ilvl w:val="0"/>
          <w:numId w:val="4"/>
        </w:numPr>
        <w:ind w:left="1134" w:hanging="294"/>
      </w:pPr>
      <w:r w:rsidRPr="00A05C1F">
        <w:rPr>
          <w:rFonts w:cstheme="minorHAnsi"/>
          <w:bCs/>
        </w:rPr>
        <w:t>All</w:t>
      </w:r>
      <w:r w:rsidR="007B7DDF">
        <w:rPr>
          <w:rFonts w:cstheme="minorHAnsi"/>
          <w:bCs/>
        </w:rPr>
        <w:t xml:space="preserve"> records</w:t>
      </w:r>
      <w:r w:rsidRPr="00A05C1F">
        <w:rPr>
          <w:rFonts w:cstheme="minorHAnsi"/>
          <w:bCs/>
        </w:rPr>
        <w:t xml:space="preserve"> will need to be clearly version controlled with a clear accessible audit trail that meets MHRA requirements to protect against unauthorised changes</w:t>
      </w:r>
      <w:r>
        <w:rPr>
          <w:rFonts w:cstheme="minorHAnsi"/>
          <w:bCs/>
        </w:rPr>
        <w:t>.</w:t>
      </w:r>
    </w:p>
    <w:p w14:paraId="11CB206F" w14:textId="1E27A3F0" w:rsidR="00E8010B" w:rsidRPr="00E8010B" w:rsidRDefault="00E8010B" w:rsidP="00E8010B">
      <w:pPr>
        <w:pStyle w:val="ListParagraph"/>
        <w:numPr>
          <w:ilvl w:val="0"/>
          <w:numId w:val="4"/>
        </w:numPr>
        <w:ind w:left="1134" w:hanging="294"/>
        <w:rPr>
          <w:rFonts w:cstheme="minorHAnsi"/>
          <w:bCs/>
        </w:rPr>
      </w:pPr>
      <w:r w:rsidRPr="009A16AD">
        <w:rPr>
          <w:rFonts w:cstheme="minorHAnsi"/>
          <w:bCs/>
        </w:rPr>
        <w:t xml:space="preserve">If a sponsor provides an e-ISF for use in a </w:t>
      </w:r>
      <w:r>
        <w:rPr>
          <w:rFonts w:cstheme="minorHAnsi"/>
          <w:bCs/>
        </w:rPr>
        <w:t xml:space="preserve">trial </w:t>
      </w:r>
      <w:r w:rsidRPr="009A16AD">
        <w:rPr>
          <w:rFonts w:cstheme="minorHAnsi"/>
          <w:bCs/>
        </w:rPr>
        <w:t>then the</w:t>
      </w:r>
      <w:r>
        <w:rPr>
          <w:rFonts w:cstheme="minorHAnsi"/>
          <w:bCs/>
        </w:rPr>
        <w:t xml:space="preserve"> site</w:t>
      </w:r>
      <w:r w:rsidR="007D0EF9">
        <w:rPr>
          <w:rFonts w:cstheme="minorHAnsi"/>
          <w:bCs/>
        </w:rPr>
        <w:t xml:space="preserve"> (also known as ‘location’)</w:t>
      </w:r>
      <w:r w:rsidRPr="009A16AD">
        <w:rPr>
          <w:rFonts w:cstheme="minorHAnsi"/>
          <w:bCs/>
        </w:rPr>
        <w:t xml:space="preserve"> should have control of all essential </w:t>
      </w:r>
      <w:r w:rsidR="007B7DDF">
        <w:rPr>
          <w:rFonts w:cstheme="minorHAnsi"/>
          <w:bCs/>
        </w:rPr>
        <w:t>records</w:t>
      </w:r>
      <w:r w:rsidRPr="009A16AD">
        <w:rPr>
          <w:rFonts w:cstheme="minorHAnsi"/>
          <w:bCs/>
        </w:rPr>
        <w:t xml:space="preserve"> and records generated by the </w:t>
      </w:r>
      <w:r>
        <w:rPr>
          <w:rFonts w:cstheme="minorHAnsi"/>
          <w:bCs/>
        </w:rPr>
        <w:t>site</w:t>
      </w:r>
      <w:r w:rsidRPr="009A16AD">
        <w:rPr>
          <w:rFonts w:cstheme="minorHAnsi"/>
          <w:bCs/>
        </w:rPr>
        <w:t xml:space="preserve"> before, during, and after the trial.</w:t>
      </w:r>
      <w:r>
        <w:rPr>
          <w:rFonts w:cstheme="minorHAnsi"/>
          <w:bCs/>
        </w:rPr>
        <w:t xml:space="preserve"> This includes having control of who has access to the e-ISF.</w:t>
      </w:r>
    </w:p>
    <w:p w14:paraId="4A87D17D" w14:textId="77777777" w:rsidR="00BB2C98" w:rsidRDefault="00BB2C98" w:rsidP="00E8010B"/>
    <w:p w14:paraId="577C8685" w14:textId="77777777" w:rsidR="00605B49" w:rsidRDefault="00605B49" w:rsidP="00BB2C98">
      <w:pPr>
        <w:ind w:left="851"/>
      </w:pPr>
    </w:p>
    <w:p w14:paraId="5F417B8C" w14:textId="77777777" w:rsidR="00605B49" w:rsidRDefault="00BB2C98" w:rsidP="00BB2C98">
      <w:pPr>
        <w:ind w:left="851" w:hanging="426"/>
      </w:pPr>
      <w:r>
        <w:rPr>
          <w:i/>
        </w:rPr>
        <w:t>3</w:t>
      </w:r>
      <w:r w:rsidR="00807469">
        <w:rPr>
          <w:i/>
        </w:rPr>
        <w:t xml:space="preserve">.2 </w:t>
      </w:r>
      <w:r>
        <w:rPr>
          <w:i/>
        </w:rPr>
        <w:tab/>
      </w:r>
      <w:r w:rsidR="00807469">
        <w:rPr>
          <w:i/>
        </w:rPr>
        <w:t>Certification</w:t>
      </w:r>
    </w:p>
    <w:p w14:paraId="6E2DA4E4" w14:textId="77777777" w:rsidR="00807469" w:rsidRDefault="00D55387" w:rsidP="00BB2C98">
      <w:pPr>
        <w:pStyle w:val="ListParagraph"/>
        <w:numPr>
          <w:ilvl w:val="0"/>
          <w:numId w:val="3"/>
        </w:numPr>
        <w:ind w:left="1134" w:hanging="294"/>
      </w:pPr>
      <w:r>
        <w:t>If a document is transferred from paper TMF to e-TMF it must be validated for authenticity</w:t>
      </w:r>
      <w:r w:rsidR="00807469">
        <w:t xml:space="preserve"> (‘certification’)</w:t>
      </w:r>
      <w:r>
        <w:t xml:space="preserve">.  This requires a person with the necessary authority to certify that the scanned document is a complete and accurate copy of the paper version.  The paper version may then be destroyed.  </w:t>
      </w:r>
    </w:p>
    <w:p w14:paraId="681BA268" w14:textId="618D1D64" w:rsidR="00AB711A" w:rsidRDefault="00AB711A" w:rsidP="00BB2C98">
      <w:pPr>
        <w:pStyle w:val="ListParagraph"/>
        <w:numPr>
          <w:ilvl w:val="0"/>
          <w:numId w:val="3"/>
        </w:numPr>
        <w:ind w:left="1134" w:hanging="294"/>
      </w:pPr>
      <w:r>
        <w:t xml:space="preserve">When reviewing scanned </w:t>
      </w:r>
      <w:r w:rsidR="007B7DDF">
        <w:t>records</w:t>
      </w:r>
      <w:r>
        <w:t xml:space="preserve"> for completeness, this should include a check that any necessary completed signature pages are present and that all odd and even pages have been scanned.</w:t>
      </w:r>
    </w:p>
    <w:p w14:paraId="0732590F" w14:textId="77777777" w:rsidR="00807469" w:rsidRDefault="00605B49" w:rsidP="00BB2C98">
      <w:pPr>
        <w:pStyle w:val="ListParagraph"/>
        <w:numPr>
          <w:ilvl w:val="0"/>
          <w:numId w:val="3"/>
        </w:numPr>
        <w:ind w:left="1134" w:hanging="294"/>
      </w:pPr>
      <w:r>
        <w:t>Authenticity only needs to be demonstrated</w:t>
      </w:r>
      <w:r w:rsidR="0009415E">
        <w:t xml:space="preserve"> if the e-file</w:t>
      </w:r>
      <w:r>
        <w:t xml:space="preserve"> was not originally generated electronically on the IT system used for </w:t>
      </w:r>
      <w:r w:rsidR="0009415E">
        <w:t xml:space="preserve">storing </w:t>
      </w:r>
      <w:r>
        <w:t>the e-TMF</w:t>
      </w:r>
      <w:r w:rsidR="0009415E">
        <w:t xml:space="preserve"> or if the location of the original paper document is not accessible on inspection</w:t>
      </w:r>
      <w:r>
        <w:t xml:space="preserve">.  </w:t>
      </w:r>
      <w:r w:rsidR="00AB711A">
        <w:t>F</w:t>
      </w:r>
      <w:r>
        <w:t xml:space="preserve">or example, it is not </w:t>
      </w:r>
      <w:r w:rsidR="00AB711A">
        <w:t>necessary to authenticate</w:t>
      </w:r>
      <w:r>
        <w:t xml:space="preserve"> a scanned CV if the </w:t>
      </w:r>
      <w:r w:rsidR="0009415E">
        <w:t>e-</w:t>
      </w:r>
      <w:r>
        <w:t>TMF can identify the location of the original signed CV</w:t>
      </w:r>
      <w:r w:rsidR="0009415E">
        <w:t xml:space="preserve"> and if the original d</w:t>
      </w:r>
      <w:r w:rsidR="00B35BDB">
        <w:t>ocument is available to view by the</w:t>
      </w:r>
      <w:r w:rsidR="0009415E">
        <w:t xml:space="preserve"> inspector</w:t>
      </w:r>
      <w:r w:rsidRPr="0009415E">
        <w:rPr>
          <w:i/>
        </w:rPr>
        <w:t>.</w:t>
      </w:r>
      <w:r w:rsidR="00746838">
        <w:t xml:space="preserve">  </w:t>
      </w:r>
    </w:p>
    <w:p w14:paraId="318F4FCB" w14:textId="77777777" w:rsidR="00605B49" w:rsidRDefault="00746838" w:rsidP="00BB2C98">
      <w:pPr>
        <w:pStyle w:val="ListParagraph"/>
        <w:numPr>
          <w:ilvl w:val="0"/>
          <w:numId w:val="3"/>
        </w:numPr>
        <w:ind w:left="1134" w:hanging="294"/>
      </w:pPr>
      <w:r>
        <w:t xml:space="preserve">If a document is moved between organisations or departments for scanning, a ‘chain of custody’ record should be maintained.  Where </w:t>
      </w:r>
      <w:r w:rsidR="0009415E">
        <w:t>certification</w:t>
      </w:r>
      <w:r>
        <w:t xml:space="preserve"> is required, this should be in place before the original source document is destroyed. </w:t>
      </w:r>
    </w:p>
    <w:p w14:paraId="61F4F330" w14:textId="77777777" w:rsidR="00713B4C" w:rsidRDefault="00713B4C" w:rsidP="00BB2C98">
      <w:pPr>
        <w:pStyle w:val="ListParagraph"/>
        <w:ind w:left="851"/>
      </w:pPr>
    </w:p>
    <w:p w14:paraId="0D226D7B" w14:textId="77777777" w:rsidR="00605B49" w:rsidRDefault="00BB2C98" w:rsidP="00BB2C98">
      <w:pPr>
        <w:ind w:left="851" w:hanging="426"/>
        <w:rPr>
          <w:i/>
        </w:rPr>
      </w:pPr>
      <w:r>
        <w:rPr>
          <w:i/>
        </w:rPr>
        <w:t>3</w:t>
      </w:r>
      <w:r w:rsidR="00807469">
        <w:rPr>
          <w:i/>
        </w:rPr>
        <w:t>.</w:t>
      </w:r>
      <w:r w:rsidR="00713B4C">
        <w:rPr>
          <w:i/>
        </w:rPr>
        <w:t>3</w:t>
      </w:r>
      <w:r w:rsidR="00936673">
        <w:rPr>
          <w:i/>
        </w:rPr>
        <w:t xml:space="preserve"> </w:t>
      </w:r>
      <w:r>
        <w:rPr>
          <w:i/>
        </w:rPr>
        <w:tab/>
      </w:r>
      <w:r w:rsidR="00605B49">
        <w:rPr>
          <w:i/>
        </w:rPr>
        <w:t xml:space="preserve">Audit </w:t>
      </w:r>
    </w:p>
    <w:p w14:paraId="7CCEB084" w14:textId="20F422DC" w:rsidR="00936673" w:rsidRDefault="00936673" w:rsidP="00BB2C98">
      <w:pPr>
        <w:pStyle w:val="ListParagraph"/>
        <w:numPr>
          <w:ilvl w:val="0"/>
          <w:numId w:val="5"/>
        </w:numPr>
        <w:ind w:left="1134" w:hanging="294"/>
      </w:pPr>
      <w:r>
        <w:t xml:space="preserve">Built-in audit trails in e-TMF software systems can support data integrity management and workflow management by capturing the date, time and user for a range of </w:t>
      </w:r>
      <w:r w:rsidR="009A614D">
        <w:t xml:space="preserve">data management </w:t>
      </w:r>
      <w:r>
        <w:t xml:space="preserve">tasks which may include creating, uploading, approving, changing and deleting </w:t>
      </w:r>
      <w:r w:rsidR="007B7DDF">
        <w:t>records</w:t>
      </w:r>
      <w:r>
        <w:t xml:space="preserve">. </w:t>
      </w:r>
      <w:r w:rsidR="009A614D">
        <w:t>Audit trails</w:t>
      </w:r>
      <w:r>
        <w:t xml:space="preserve"> usually have the facility to identify which individuals accessed which </w:t>
      </w:r>
      <w:r w:rsidR="007B7DDF">
        <w:t>records</w:t>
      </w:r>
      <w:r>
        <w:t xml:space="preserve">, whether any changes have been made (‘traceability’) and </w:t>
      </w:r>
      <w:r w:rsidR="009A614D">
        <w:t xml:space="preserve">to flag </w:t>
      </w:r>
      <w:r>
        <w:t xml:space="preserve">whether only permitted individuals had access to particular </w:t>
      </w:r>
      <w:r w:rsidR="004A50EE">
        <w:t>records</w:t>
      </w:r>
      <w:r>
        <w:t xml:space="preserve">.  </w:t>
      </w:r>
      <w:r w:rsidR="009A614D">
        <w:t>Audit trails can be useful</w:t>
      </w:r>
      <w:r>
        <w:t>, for example, in blinded studies, where it is essential that the integrity of the data is not compromised by certain individuals having access to unblinded data.</w:t>
      </w:r>
    </w:p>
    <w:p w14:paraId="2056B7EF" w14:textId="423359CC" w:rsidR="00BE4CCD" w:rsidRDefault="00BE4CCD" w:rsidP="00BB2C98">
      <w:pPr>
        <w:pStyle w:val="ListParagraph"/>
        <w:numPr>
          <w:ilvl w:val="0"/>
          <w:numId w:val="5"/>
        </w:numPr>
        <w:ind w:left="1134" w:hanging="294"/>
      </w:pPr>
      <w:r>
        <w:t>E-TMFs which use workflows for reviewing, approving, acknowle</w:t>
      </w:r>
      <w:r w:rsidR="00D50738">
        <w:t xml:space="preserve">dging receipt of </w:t>
      </w:r>
      <w:r w:rsidR="004A50EE">
        <w:t>records</w:t>
      </w:r>
      <w:r w:rsidR="00E8010B">
        <w:t>,</w:t>
      </w:r>
      <w:r w:rsidR="00D50738">
        <w:t xml:space="preserve"> and </w:t>
      </w:r>
      <w:r>
        <w:t xml:space="preserve">changing </w:t>
      </w:r>
      <w:r w:rsidR="004A50EE">
        <w:t>records</w:t>
      </w:r>
      <w:r>
        <w:t xml:space="preserve"> should have </w:t>
      </w:r>
      <w:r w:rsidR="00D50738">
        <w:t>an audit functionality. There should also be documented</w:t>
      </w:r>
      <w:r>
        <w:t xml:space="preserve"> evidence that staff are trained in the use of workflows.</w:t>
      </w:r>
    </w:p>
    <w:p w14:paraId="39DB0897" w14:textId="3708F589" w:rsidR="001632D6" w:rsidRDefault="001632D6" w:rsidP="00BB2C98">
      <w:pPr>
        <w:pStyle w:val="ListParagraph"/>
        <w:numPr>
          <w:ilvl w:val="0"/>
          <w:numId w:val="5"/>
        </w:numPr>
        <w:ind w:left="1134" w:hanging="294"/>
      </w:pPr>
      <w:r>
        <w:lastRenderedPageBreak/>
        <w:t>Periodic audit</w:t>
      </w:r>
      <w:r w:rsidR="00D50738">
        <w:t>s</w:t>
      </w:r>
      <w:r>
        <w:t xml:space="preserve"> or quality control checks of the e-TMF are recommended.  This might include checks of individual documents for legibility, </w:t>
      </w:r>
      <w:r w:rsidR="00D938DF">
        <w:t xml:space="preserve">reproduction of colour, </w:t>
      </w:r>
      <w:r>
        <w:t>completeness, whether any changes have been made</w:t>
      </w:r>
      <w:r w:rsidR="00D50738">
        <w:t xml:space="preserve"> to a particular document</w:t>
      </w:r>
      <w:r>
        <w:t xml:space="preserve">, that the correct document </w:t>
      </w:r>
      <w:r w:rsidR="003C7A7B">
        <w:t xml:space="preserve">has been filed </w:t>
      </w:r>
      <w:r>
        <w:t xml:space="preserve">and that </w:t>
      </w:r>
      <w:r w:rsidR="00D50738">
        <w:t xml:space="preserve">documented </w:t>
      </w:r>
      <w:r>
        <w:t xml:space="preserve">procedures have been followed for </w:t>
      </w:r>
      <w:r w:rsidR="00D50738">
        <w:t xml:space="preserve">the </w:t>
      </w:r>
      <w:r w:rsidR="0092219B">
        <w:t xml:space="preserve">transfer from paper TMF </w:t>
      </w:r>
      <w:r w:rsidR="00D50738">
        <w:t xml:space="preserve">to e-TMF (if </w:t>
      </w:r>
      <w:r>
        <w:t xml:space="preserve">applicable). </w:t>
      </w:r>
    </w:p>
    <w:p w14:paraId="22E56E9C" w14:textId="77777777" w:rsidR="00807469" w:rsidRDefault="00807469" w:rsidP="00BB2C98"/>
    <w:p w14:paraId="56D123C6" w14:textId="77777777" w:rsidR="00807469" w:rsidRPr="00EF73A0" w:rsidRDefault="00807469" w:rsidP="00807469"/>
    <w:p w14:paraId="62781EB4" w14:textId="59910920" w:rsidR="003A0609" w:rsidRDefault="003A0609" w:rsidP="00017251">
      <w:pPr>
        <w:ind w:left="426" w:hanging="426"/>
        <w:rPr>
          <w:bCs/>
        </w:rPr>
      </w:pPr>
    </w:p>
    <w:p w14:paraId="4ECA183A" w14:textId="77777777" w:rsidR="00274825" w:rsidRDefault="00274825" w:rsidP="00E8010B">
      <w:pPr>
        <w:rPr>
          <w:b/>
        </w:rPr>
      </w:pPr>
    </w:p>
    <w:p w14:paraId="2173493F" w14:textId="54E58144" w:rsidR="00274825" w:rsidRPr="00E8010B" w:rsidRDefault="00017251" w:rsidP="00E8010B">
      <w:pPr>
        <w:ind w:left="426" w:hanging="66"/>
        <w:rPr>
          <w:bCs/>
          <w:i/>
          <w:iCs/>
        </w:rPr>
      </w:pPr>
      <w:r w:rsidRPr="00E8010B">
        <w:rPr>
          <w:bCs/>
          <w:i/>
          <w:iCs/>
        </w:rPr>
        <w:t>3.4</w:t>
      </w:r>
      <w:r w:rsidR="00274825" w:rsidRPr="00E8010B">
        <w:rPr>
          <w:bCs/>
          <w:i/>
          <w:iCs/>
        </w:rPr>
        <w:t xml:space="preserve"> Processes:</w:t>
      </w:r>
    </w:p>
    <w:p w14:paraId="4B4FE094" w14:textId="77777777" w:rsidR="00274825" w:rsidRDefault="00274825" w:rsidP="00274825">
      <w:pPr>
        <w:ind w:left="426" w:hanging="426"/>
        <w:rPr>
          <w:b/>
        </w:rPr>
      </w:pPr>
    </w:p>
    <w:p w14:paraId="5B59ACB8" w14:textId="37DBC50F" w:rsidR="00274825" w:rsidRPr="00E8010B" w:rsidRDefault="00274825" w:rsidP="00E8010B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 w:rsidRPr="00A05C1F">
        <w:rPr>
          <w:rFonts w:cstheme="minorHAnsi"/>
          <w:bCs/>
        </w:rPr>
        <w:t xml:space="preserve">There needs to be a clear process for filing </w:t>
      </w:r>
      <w:r w:rsidR="004A50EE">
        <w:rPr>
          <w:rFonts w:cstheme="minorHAnsi"/>
          <w:bCs/>
        </w:rPr>
        <w:t xml:space="preserve">records </w:t>
      </w:r>
      <w:r w:rsidRPr="00A05C1F">
        <w:rPr>
          <w:rFonts w:cstheme="minorHAnsi"/>
          <w:bCs/>
        </w:rPr>
        <w:t xml:space="preserve"> for example when, by whom and will draft </w:t>
      </w:r>
      <w:r w:rsidR="007B7DDF">
        <w:rPr>
          <w:rFonts w:cstheme="minorHAnsi"/>
          <w:bCs/>
        </w:rPr>
        <w:t>records</w:t>
      </w:r>
      <w:r w:rsidRPr="00A05C1F">
        <w:rPr>
          <w:rFonts w:cstheme="minorHAnsi"/>
          <w:bCs/>
        </w:rPr>
        <w:t xml:space="preserve"> be stored outside of the </w:t>
      </w:r>
      <w:r w:rsidR="00017251">
        <w:rPr>
          <w:rFonts w:cstheme="minorHAnsi"/>
          <w:bCs/>
        </w:rPr>
        <w:t>e-TMF or e-ISF</w:t>
      </w:r>
      <w:r w:rsidRPr="00A05C1F">
        <w:rPr>
          <w:rFonts w:cstheme="minorHAnsi"/>
          <w:bCs/>
        </w:rPr>
        <w:t>?</w:t>
      </w:r>
    </w:p>
    <w:p w14:paraId="21E6FA9C" w14:textId="529216E0" w:rsidR="00A05C1F" w:rsidRPr="00E8010B" w:rsidRDefault="00274825" w:rsidP="00E8010B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 w:rsidRPr="00A05C1F">
        <w:rPr>
          <w:rFonts w:cstheme="minorHAnsi"/>
          <w:bCs/>
        </w:rPr>
        <w:t>In some instances</w:t>
      </w:r>
      <w:r w:rsidR="003A0609">
        <w:rPr>
          <w:rFonts w:cstheme="minorHAnsi"/>
          <w:bCs/>
        </w:rPr>
        <w:t>,</w:t>
      </w:r>
      <w:r w:rsidRPr="00A05C1F">
        <w:rPr>
          <w:rFonts w:cstheme="minorHAnsi"/>
          <w:bCs/>
        </w:rPr>
        <w:t xml:space="preserve"> it may be appropriate for some users to only have access to parts of the e-</w:t>
      </w:r>
      <w:r w:rsidR="00017251">
        <w:rPr>
          <w:rFonts w:cstheme="minorHAnsi"/>
          <w:bCs/>
        </w:rPr>
        <w:t>TMF or e-</w:t>
      </w:r>
      <w:r w:rsidRPr="00A05C1F">
        <w:rPr>
          <w:rFonts w:cstheme="minorHAnsi"/>
          <w:bCs/>
        </w:rPr>
        <w:t>ISF subject to role and other users to have access to the entirety of the e</w:t>
      </w:r>
      <w:r w:rsidR="00017251">
        <w:rPr>
          <w:rFonts w:cstheme="minorHAnsi"/>
          <w:bCs/>
        </w:rPr>
        <w:t>-TMF or e</w:t>
      </w:r>
      <w:r w:rsidRPr="00A05C1F">
        <w:rPr>
          <w:rFonts w:cstheme="minorHAnsi"/>
          <w:bCs/>
        </w:rPr>
        <w:t xml:space="preserve">-ISF. This would need to be clearly documented. </w:t>
      </w:r>
    </w:p>
    <w:p w14:paraId="4B926D93" w14:textId="1FCA61A6" w:rsidR="005F1FD4" w:rsidRPr="00E8010B" w:rsidRDefault="003A0609" w:rsidP="00E8010B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>
        <w:rPr>
          <w:rFonts w:cstheme="minorHAnsi"/>
          <w:bCs/>
        </w:rPr>
        <w:t>There should be a</w:t>
      </w:r>
      <w:r w:rsidR="00A05C1F" w:rsidRPr="00E8010B">
        <w:rPr>
          <w:rFonts w:cstheme="minorHAnsi"/>
          <w:bCs/>
        </w:rPr>
        <w:t xml:space="preserve"> documented system in place for making changes to the system (including a list of personnel authorised to make those changes)</w:t>
      </w:r>
    </w:p>
    <w:p w14:paraId="78499D82" w14:textId="2434A786" w:rsidR="00E8010B" w:rsidRPr="00E8010B" w:rsidRDefault="00274825" w:rsidP="00E8010B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 w:rsidRPr="00A05C1F">
        <w:rPr>
          <w:rFonts w:cstheme="minorHAnsi"/>
          <w:bCs/>
        </w:rPr>
        <w:t xml:space="preserve">Password enabled signatures can be utilised for efficiency as long as clear audit trails are in place to authenticate the signature. </w:t>
      </w:r>
    </w:p>
    <w:p w14:paraId="32F876EB" w14:textId="6182454F" w:rsidR="00A05C1F" w:rsidRPr="00E8010B" w:rsidRDefault="00E8010B" w:rsidP="00E8010B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>
        <w:rPr>
          <w:rFonts w:cstheme="minorHAnsi"/>
          <w:bCs/>
        </w:rPr>
        <w:t>There</w:t>
      </w:r>
      <w:r w:rsidRPr="00E8010B">
        <w:rPr>
          <w:rFonts w:cstheme="minorHAnsi"/>
          <w:bCs/>
        </w:rPr>
        <w:t xml:space="preserve"> </w:t>
      </w:r>
      <w:r w:rsidRPr="00661535">
        <w:rPr>
          <w:rFonts w:cstheme="minorHAnsi"/>
          <w:bCs/>
        </w:rPr>
        <w:t xml:space="preserve">needs to be a management system in place for creating and deleting accounts. Particular attention should be given to ensuring a robust process is in place </w:t>
      </w:r>
      <w:r>
        <w:rPr>
          <w:rFonts w:cstheme="minorHAnsi"/>
          <w:bCs/>
        </w:rPr>
        <w:t>for revoking access for researchers who no longer work on the trial or changing user access requirements, for example if a researcher’s study role changes.</w:t>
      </w:r>
    </w:p>
    <w:p w14:paraId="3DC1BE2E" w14:textId="0523A951" w:rsidR="00274825" w:rsidRPr="00E8010B" w:rsidRDefault="00274825" w:rsidP="00E8010B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 w:rsidRPr="00A05C1F">
        <w:rPr>
          <w:rFonts w:cstheme="minorHAnsi"/>
          <w:bCs/>
        </w:rPr>
        <w:t xml:space="preserve">Checks need to be in place to ensure all </w:t>
      </w:r>
      <w:r w:rsidR="007B7DDF">
        <w:rPr>
          <w:rFonts w:cstheme="minorHAnsi"/>
          <w:bCs/>
        </w:rPr>
        <w:t>records</w:t>
      </w:r>
      <w:r w:rsidRPr="00A05C1F">
        <w:rPr>
          <w:rFonts w:cstheme="minorHAnsi"/>
          <w:bCs/>
        </w:rPr>
        <w:t xml:space="preserve"> are legible (if scanned into the e-ISF) and they are correctly indexed. </w:t>
      </w:r>
      <w:r w:rsidR="00A05C1F" w:rsidRPr="00E8010B">
        <w:rPr>
          <w:rFonts w:cstheme="minorHAnsi"/>
          <w:bCs/>
        </w:rPr>
        <w:t xml:space="preserve"> A clear process is required to ensure scanned copies are authentic copies (as described</w:t>
      </w:r>
      <w:r w:rsidR="00017251">
        <w:rPr>
          <w:rFonts w:cstheme="minorHAnsi"/>
          <w:bCs/>
        </w:rPr>
        <w:t xml:space="preserve"> above in 3.3)</w:t>
      </w:r>
    </w:p>
    <w:p w14:paraId="6FDFEDE7" w14:textId="44234C3C" w:rsidR="00A05C1F" w:rsidRPr="00E8010B" w:rsidRDefault="007B7DDF" w:rsidP="00E8010B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>
        <w:rPr>
          <w:rFonts w:cstheme="minorHAnsi"/>
          <w:bCs/>
        </w:rPr>
        <w:t>Records</w:t>
      </w:r>
      <w:r w:rsidR="00274825" w:rsidRPr="00A05C1F">
        <w:rPr>
          <w:rFonts w:cstheme="minorHAnsi"/>
          <w:bCs/>
        </w:rPr>
        <w:t xml:space="preserve"> must be uploaded contemporaneously</w:t>
      </w:r>
      <w:r w:rsidR="00A05C1F" w:rsidRPr="00E8010B">
        <w:rPr>
          <w:rFonts w:cstheme="minorHAnsi"/>
          <w:bCs/>
        </w:rPr>
        <w:t>,</w:t>
      </w:r>
      <w:r w:rsidR="00274825" w:rsidRPr="00A05C1F">
        <w:rPr>
          <w:rFonts w:cstheme="minorHAnsi"/>
          <w:bCs/>
        </w:rPr>
        <w:t xml:space="preserve"> and evidence should be in place of that (i.e. date document uploaded)</w:t>
      </w:r>
    </w:p>
    <w:p w14:paraId="0C45E146" w14:textId="1D662ADB" w:rsidR="00A05C1F" w:rsidRPr="00E8010B" w:rsidRDefault="00A05C1F" w:rsidP="00E8010B">
      <w:pPr>
        <w:pStyle w:val="ListParagraph"/>
        <w:numPr>
          <w:ilvl w:val="0"/>
          <w:numId w:val="12"/>
        </w:numPr>
        <w:rPr>
          <w:rFonts w:cstheme="minorHAnsi"/>
          <w:bCs/>
        </w:rPr>
      </w:pPr>
      <w:r w:rsidRPr="00E8010B">
        <w:rPr>
          <w:rFonts w:cstheme="minorHAnsi"/>
          <w:bCs/>
        </w:rPr>
        <w:t>Training should be provided on the e-</w:t>
      </w:r>
      <w:r w:rsidR="00017251">
        <w:rPr>
          <w:rFonts w:cstheme="minorHAnsi"/>
          <w:bCs/>
        </w:rPr>
        <w:t>TMF or e-</w:t>
      </w:r>
      <w:r w:rsidRPr="00E8010B">
        <w:rPr>
          <w:rFonts w:cstheme="minorHAnsi"/>
          <w:bCs/>
        </w:rPr>
        <w:t>ISF and this should be documented</w:t>
      </w:r>
      <w:r w:rsidR="00E8010B">
        <w:rPr>
          <w:rFonts w:cstheme="minorHAnsi"/>
          <w:bCs/>
        </w:rPr>
        <w:t>.</w:t>
      </w:r>
    </w:p>
    <w:p w14:paraId="452BF419" w14:textId="77777777" w:rsidR="00274825" w:rsidRDefault="00274825" w:rsidP="00BB2C98">
      <w:pPr>
        <w:ind w:left="426" w:hanging="426"/>
        <w:rPr>
          <w:b/>
        </w:rPr>
      </w:pPr>
    </w:p>
    <w:p w14:paraId="3AACC77A" w14:textId="11BF9241" w:rsidR="00274825" w:rsidRPr="00E8010B" w:rsidRDefault="00E8010B" w:rsidP="00E8010B">
      <w:pPr>
        <w:ind w:left="426" w:hanging="66"/>
        <w:rPr>
          <w:bCs/>
          <w:i/>
          <w:iCs/>
        </w:rPr>
      </w:pPr>
      <w:r w:rsidRPr="00E8010B">
        <w:rPr>
          <w:bCs/>
          <w:i/>
          <w:iCs/>
        </w:rPr>
        <w:t xml:space="preserve">3.5 </w:t>
      </w:r>
      <w:r w:rsidR="00A05C1F" w:rsidRPr="00E8010B">
        <w:rPr>
          <w:bCs/>
          <w:i/>
          <w:iCs/>
        </w:rPr>
        <w:t>Secure storage</w:t>
      </w:r>
      <w:r>
        <w:rPr>
          <w:bCs/>
          <w:i/>
          <w:iCs/>
        </w:rPr>
        <w:t>:</w:t>
      </w:r>
    </w:p>
    <w:p w14:paraId="77CD0F6B" w14:textId="77777777" w:rsidR="00A05C1F" w:rsidRDefault="00A05C1F" w:rsidP="00274825">
      <w:pPr>
        <w:ind w:left="426" w:hanging="426"/>
        <w:rPr>
          <w:b/>
        </w:rPr>
      </w:pPr>
    </w:p>
    <w:p w14:paraId="15BB70AA" w14:textId="4149DA76" w:rsidR="00A05C1F" w:rsidRPr="00E8010B" w:rsidRDefault="00A05C1F" w:rsidP="009C5BE2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E8010B">
        <w:rPr>
          <w:rFonts w:cstheme="minorHAnsi"/>
          <w:bCs/>
        </w:rPr>
        <w:t>The e-</w:t>
      </w:r>
      <w:r w:rsidR="00017251">
        <w:rPr>
          <w:rFonts w:cstheme="minorHAnsi"/>
          <w:bCs/>
        </w:rPr>
        <w:t>TMF or e-</w:t>
      </w:r>
      <w:r w:rsidRPr="00E8010B">
        <w:rPr>
          <w:rFonts w:cstheme="minorHAnsi"/>
          <w:bCs/>
        </w:rPr>
        <w:t>ISF must be stored securely to protect from unauthorised access or from accidental deletion.</w:t>
      </w:r>
    </w:p>
    <w:p w14:paraId="740932DB" w14:textId="543FBD0A" w:rsidR="00A05C1F" w:rsidRPr="00E8010B" w:rsidRDefault="00A05C1F" w:rsidP="009C5BE2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E8010B">
        <w:rPr>
          <w:rFonts w:cstheme="minorHAnsi"/>
          <w:bCs/>
        </w:rPr>
        <w:t>If using a web-based application due consideration needs to be made as to what plans are in place if access to the web is unavailable. If the storage is on a cloud outside of the UK again assurances are required for secure storage.</w:t>
      </w:r>
    </w:p>
    <w:p w14:paraId="18B46427" w14:textId="15B4D610" w:rsidR="00A05C1F" w:rsidRPr="00E8010B" w:rsidRDefault="003A0609" w:rsidP="009C5BE2">
      <w:pPr>
        <w:pStyle w:val="ListParagraph"/>
        <w:numPr>
          <w:ilvl w:val="0"/>
          <w:numId w:val="13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</w:rPr>
        <w:t>There needs to be</w:t>
      </w:r>
      <w:r w:rsidR="00A05C1F" w:rsidRPr="00E8010B">
        <w:rPr>
          <w:rFonts w:cstheme="minorHAnsi"/>
          <w:bCs/>
        </w:rPr>
        <w:t xml:space="preserve"> clear back up arrangements in place</w:t>
      </w:r>
      <w:r>
        <w:rPr>
          <w:rFonts w:cstheme="minorHAnsi"/>
          <w:bCs/>
        </w:rPr>
        <w:t xml:space="preserve"> and details of this should be documented i.e. where the </w:t>
      </w:r>
      <w:r w:rsidR="00E8010B">
        <w:rPr>
          <w:rFonts w:cstheme="minorHAnsi"/>
          <w:bCs/>
        </w:rPr>
        <w:t>back-up</w:t>
      </w:r>
      <w:r>
        <w:rPr>
          <w:rFonts w:cstheme="minorHAnsi"/>
          <w:bCs/>
        </w:rPr>
        <w:t xml:space="preserve"> is held (is it in a </w:t>
      </w:r>
      <w:r w:rsidR="00A05C1F" w:rsidRPr="00E8010B">
        <w:rPr>
          <w:rFonts w:cstheme="minorHAnsi"/>
          <w:bCs/>
        </w:rPr>
        <w:t>separate location?)</w:t>
      </w:r>
    </w:p>
    <w:p w14:paraId="52A19723" w14:textId="3BC65CCD" w:rsidR="00A05C1F" w:rsidRPr="00E8010B" w:rsidRDefault="003A0609" w:rsidP="009C5BE2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There needs to be</w:t>
      </w:r>
      <w:r w:rsidR="00A05C1F" w:rsidRPr="00E8010B">
        <w:rPr>
          <w:rFonts w:cstheme="minorHAnsi"/>
          <w:bCs/>
        </w:rPr>
        <w:t xml:space="preserve"> arrangements in place for retention at end of study including locking the </w:t>
      </w:r>
      <w:r w:rsidR="00736CD6">
        <w:rPr>
          <w:rFonts w:cstheme="minorHAnsi"/>
          <w:bCs/>
        </w:rPr>
        <w:t>e-TMF and e-</w:t>
      </w:r>
      <w:r w:rsidR="00A05C1F" w:rsidRPr="00E8010B">
        <w:rPr>
          <w:rFonts w:cstheme="minorHAnsi"/>
          <w:bCs/>
        </w:rPr>
        <w:t>ISF, restricted access, and software updates to make sure it remains accessible</w:t>
      </w:r>
      <w:r>
        <w:rPr>
          <w:rFonts w:cstheme="minorHAnsi"/>
          <w:bCs/>
        </w:rPr>
        <w:t>.</w:t>
      </w:r>
    </w:p>
    <w:p w14:paraId="046B9184" w14:textId="07F8D40B" w:rsidR="00A05C1F" w:rsidRPr="00E8010B" w:rsidRDefault="003A0609" w:rsidP="009C5BE2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There needs to be a clear mechanism for archiving</w:t>
      </w:r>
      <w:r w:rsidR="00A05C1F" w:rsidRPr="00E8010B">
        <w:rPr>
          <w:rFonts w:cstheme="minorHAnsi"/>
          <w:bCs/>
        </w:rPr>
        <w:t xml:space="preserve"> the e-</w:t>
      </w:r>
      <w:r w:rsidR="00736CD6">
        <w:rPr>
          <w:rFonts w:cstheme="minorHAnsi"/>
          <w:bCs/>
        </w:rPr>
        <w:t>TMF or e-</w:t>
      </w:r>
      <w:r w:rsidR="00A05C1F" w:rsidRPr="00E8010B">
        <w:rPr>
          <w:rFonts w:cstheme="minorHAnsi"/>
          <w:bCs/>
        </w:rPr>
        <w:t xml:space="preserve">ISF </w:t>
      </w:r>
      <w:r>
        <w:rPr>
          <w:rFonts w:cstheme="minorHAnsi"/>
          <w:bCs/>
        </w:rPr>
        <w:t xml:space="preserve">to protect it from obsolescence. It is recommended an archiving plan is in place </w:t>
      </w:r>
      <w:r w:rsidR="00A05C1F" w:rsidRPr="00E8010B">
        <w:rPr>
          <w:rFonts w:cstheme="minorHAnsi"/>
          <w:bCs/>
        </w:rPr>
        <w:t>to describe how and where it will be stored</w:t>
      </w:r>
      <w:r>
        <w:rPr>
          <w:rFonts w:cstheme="minorHAnsi"/>
          <w:bCs/>
        </w:rPr>
        <w:t xml:space="preserve"> for future access as required.</w:t>
      </w:r>
    </w:p>
    <w:p w14:paraId="7EB3521C" w14:textId="77777777" w:rsidR="00A05C1F" w:rsidRPr="00E8010B" w:rsidRDefault="00A05C1F" w:rsidP="00E8010B">
      <w:pPr>
        <w:pStyle w:val="ListParagraph"/>
        <w:rPr>
          <w:b/>
        </w:rPr>
      </w:pPr>
    </w:p>
    <w:p w14:paraId="0A37FC1E" w14:textId="77777777" w:rsidR="00274825" w:rsidRDefault="00274825" w:rsidP="00BB2C98">
      <w:pPr>
        <w:ind w:left="426" w:hanging="426"/>
        <w:rPr>
          <w:b/>
        </w:rPr>
      </w:pPr>
    </w:p>
    <w:p w14:paraId="14F4C82F" w14:textId="4005EECF" w:rsidR="005F1FD4" w:rsidRDefault="005F1FD4" w:rsidP="00E8010B">
      <w:pPr>
        <w:rPr>
          <w:b/>
        </w:rPr>
      </w:pPr>
    </w:p>
    <w:p w14:paraId="661A3112" w14:textId="77777777" w:rsidR="005F1FD4" w:rsidRDefault="005F1FD4" w:rsidP="00BB2C98">
      <w:pPr>
        <w:ind w:left="426" w:hanging="426"/>
        <w:rPr>
          <w:b/>
        </w:rPr>
      </w:pPr>
    </w:p>
    <w:p w14:paraId="30563940" w14:textId="60F5A4E7" w:rsidR="00BD6CBF" w:rsidRDefault="00736CD6" w:rsidP="00BB2C98">
      <w:pPr>
        <w:ind w:left="426" w:hanging="426"/>
        <w:rPr>
          <w:b/>
        </w:rPr>
      </w:pPr>
      <w:r>
        <w:rPr>
          <w:b/>
        </w:rPr>
        <w:t>4.0</w:t>
      </w:r>
      <w:r w:rsidR="005F1FD4">
        <w:rPr>
          <w:b/>
        </w:rPr>
        <w:t xml:space="preserve"> </w:t>
      </w:r>
      <w:r w:rsidR="00BD6CBF">
        <w:rPr>
          <w:b/>
        </w:rPr>
        <w:t>Electronic medical records</w:t>
      </w:r>
    </w:p>
    <w:p w14:paraId="76DF0950" w14:textId="75074C68" w:rsidR="003B461C" w:rsidRDefault="00F6498F" w:rsidP="00BB2C98">
      <w:pPr>
        <w:pStyle w:val="ListParagraph"/>
        <w:numPr>
          <w:ilvl w:val="0"/>
          <w:numId w:val="8"/>
        </w:numPr>
        <w:ind w:hanging="294"/>
      </w:pPr>
      <w:r>
        <w:lastRenderedPageBreak/>
        <w:t xml:space="preserve">The MHRA </w:t>
      </w:r>
      <w:r w:rsidR="003B461C">
        <w:t>accepts</w:t>
      </w:r>
      <w:r>
        <w:t xml:space="preserve"> the use of electronic medical records </w:t>
      </w:r>
      <w:r w:rsidR="00D50738">
        <w:t xml:space="preserve">in research </w:t>
      </w:r>
      <w:r>
        <w:t xml:space="preserve">provided that </w:t>
      </w:r>
      <w:r w:rsidR="00D50738">
        <w:t xml:space="preserve">the e-medical records have </w:t>
      </w:r>
      <w:r>
        <w:t>a</w:t>
      </w:r>
      <w:r w:rsidR="00D50738">
        <w:t xml:space="preserve"> documented</w:t>
      </w:r>
      <w:r>
        <w:t xml:space="preserve"> procedure for v</w:t>
      </w:r>
      <w:r w:rsidR="003B461C">
        <w:t xml:space="preserve">alidating scanned </w:t>
      </w:r>
      <w:r w:rsidR="007B7DDF">
        <w:t>records</w:t>
      </w:r>
      <w:r w:rsidR="003B461C">
        <w:t xml:space="preserve">, </w:t>
      </w:r>
      <w:r>
        <w:t xml:space="preserve">that evidence can be provided that scanned </w:t>
      </w:r>
      <w:r w:rsidR="007B7DDF">
        <w:t>records</w:t>
      </w:r>
      <w:r>
        <w:t xml:space="preserve"> are an authentic copy of the original and that the </w:t>
      </w:r>
      <w:r w:rsidR="00D50738">
        <w:t>records are saved in an e-</w:t>
      </w:r>
      <w:r>
        <w:t>format which can be retrieved at a later date</w:t>
      </w:r>
      <w:r w:rsidR="00D50738">
        <w:t xml:space="preserve"> for inspection purposes</w:t>
      </w:r>
      <w:r>
        <w:t xml:space="preserve">.  </w:t>
      </w:r>
    </w:p>
    <w:p w14:paraId="657543B0" w14:textId="340B2B51" w:rsidR="00680FA0" w:rsidRDefault="00680FA0" w:rsidP="00BB2C98">
      <w:pPr>
        <w:pStyle w:val="ListParagraph"/>
        <w:numPr>
          <w:ilvl w:val="0"/>
          <w:numId w:val="8"/>
        </w:numPr>
        <w:ind w:hanging="294"/>
      </w:pPr>
      <w:r>
        <w:t xml:space="preserve">The Trust’s Electronic Data Management System for medical records (EVOLVE) has a validated process for confirming that scanned </w:t>
      </w:r>
      <w:r w:rsidR="007B7DDF">
        <w:t>records</w:t>
      </w:r>
      <w:r>
        <w:t xml:space="preserve"> are certified copies (EVOLVE Research Checklist signed by Andrew Hooper and Diana Benton October 2015).</w:t>
      </w:r>
    </w:p>
    <w:p w14:paraId="5EB29A11" w14:textId="77777777" w:rsidR="00D50738" w:rsidRDefault="00D50738" w:rsidP="00D50738"/>
    <w:sectPr w:rsidR="00D50738" w:rsidSect="003958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58B5" w14:textId="77777777" w:rsidR="0016559C" w:rsidRDefault="0016559C" w:rsidP="00050160">
      <w:r>
        <w:separator/>
      </w:r>
    </w:p>
  </w:endnote>
  <w:endnote w:type="continuationSeparator" w:id="0">
    <w:p w14:paraId="2FBAF121" w14:textId="77777777" w:rsidR="0016559C" w:rsidRDefault="0016559C" w:rsidP="0005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460A" w14:textId="680961EB" w:rsidR="0016559C" w:rsidRPr="00050160" w:rsidRDefault="003A0609">
    <w:pPr>
      <w:pStyle w:val="Footer"/>
      <w:rPr>
        <w:sz w:val="16"/>
        <w:szCs w:val="16"/>
      </w:rPr>
    </w:pPr>
    <w:r>
      <w:rPr>
        <w:sz w:val="16"/>
        <w:szCs w:val="16"/>
      </w:rPr>
      <w:t>V2</w:t>
    </w:r>
    <w:r w:rsidR="00B84913">
      <w:rPr>
        <w:sz w:val="16"/>
        <w:szCs w:val="16"/>
      </w:rPr>
      <w:t>.</w:t>
    </w:r>
    <w:r w:rsidR="00B44463">
      <w:rPr>
        <w:sz w:val="16"/>
        <w:szCs w:val="16"/>
      </w:rPr>
      <w:t>1 28/APR/2026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E3EC" w14:textId="77777777" w:rsidR="0016559C" w:rsidRDefault="0016559C" w:rsidP="00050160">
      <w:r>
        <w:separator/>
      </w:r>
    </w:p>
  </w:footnote>
  <w:footnote w:type="continuationSeparator" w:id="0">
    <w:p w14:paraId="6A57CEB3" w14:textId="77777777" w:rsidR="0016559C" w:rsidRDefault="0016559C" w:rsidP="0005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4A8"/>
    <w:multiLevelType w:val="hybridMultilevel"/>
    <w:tmpl w:val="88F4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041C"/>
    <w:multiLevelType w:val="hybridMultilevel"/>
    <w:tmpl w:val="91CE21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12758"/>
    <w:multiLevelType w:val="hybridMultilevel"/>
    <w:tmpl w:val="33906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0B0F"/>
    <w:multiLevelType w:val="hybridMultilevel"/>
    <w:tmpl w:val="F294C4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7722E"/>
    <w:multiLevelType w:val="hybridMultilevel"/>
    <w:tmpl w:val="B09A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5F4E"/>
    <w:multiLevelType w:val="hybridMultilevel"/>
    <w:tmpl w:val="63AA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837"/>
    <w:multiLevelType w:val="hybridMultilevel"/>
    <w:tmpl w:val="969EBC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576DB"/>
    <w:multiLevelType w:val="hybridMultilevel"/>
    <w:tmpl w:val="54AE18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4A3420"/>
    <w:multiLevelType w:val="hybridMultilevel"/>
    <w:tmpl w:val="CA4A10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65DEF"/>
    <w:multiLevelType w:val="hybridMultilevel"/>
    <w:tmpl w:val="BF0CCC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D0F58"/>
    <w:multiLevelType w:val="hybridMultilevel"/>
    <w:tmpl w:val="8718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64887"/>
    <w:multiLevelType w:val="hybridMultilevel"/>
    <w:tmpl w:val="423A2C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0115E"/>
    <w:multiLevelType w:val="hybridMultilevel"/>
    <w:tmpl w:val="DB2A698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7D52A13"/>
    <w:multiLevelType w:val="hybridMultilevel"/>
    <w:tmpl w:val="89A8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F4241"/>
    <w:multiLevelType w:val="hybridMultilevel"/>
    <w:tmpl w:val="EAC41DA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20625938">
    <w:abstractNumId w:val="5"/>
  </w:num>
  <w:num w:numId="2" w16cid:durableId="158885140">
    <w:abstractNumId w:val="4"/>
  </w:num>
  <w:num w:numId="3" w16cid:durableId="313073608">
    <w:abstractNumId w:val="9"/>
  </w:num>
  <w:num w:numId="4" w16cid:durableId="712850488">
    <w:abstractNumId w:val="3"/>
  </w:num>
  <w:num w:numId="5" w16cid:durableId="1583300035">
    <w:abstractNumId w:val="11"/>
  </w:num>
  <w:num w:numId="6" w16cid:durableId="143667137">
    <w:abstractNumId w:val="6"/>
  </w:num>
  <w:num w:numId="7" w16cid:durableId="1642882711">
    <w:abstractNumId w:val="14"/>
  </w:num>
  <w:num w:numId="8" w16cid:durableId="1836529521">
    <w:abstractNumId w:val="13"/>
  </w:num>
  <w:num w:numId="9" w16cid:durableId="926117455">
    <w:abstractNumId w:val="2"/>
  </w:num>
  <w:num w:numId="10" w16cid:durableId="148598436">
    <w:abstractNumId w:val="10"/>
  </w:num>
  <w:num w:numId="11" w16cid:durableId="39747452">
    <w:abstractNumId w:val="0"/>
  </w:num>
  <w:num w:numId="12" w16cid:durableId="582684813">
    <w:abstractNumId w:val="1"/>
  </w:num>
  <w:num w:numId="13" w16cid:durableId="1695954979">
    <w:abstractNumId w:val="8"/>
  </w:num>
  <w:num w:numId="14" w16cid:durableId="552888225">
    <w:abstractNumId w:val="12"/>
  </w:num>
  <w:num w:numId="15" w16cid:durableId="2028170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A0"/>
    <w:rsid w:val="00017251"/>
    <w:rsid w:val="00050160"/>
    <w:rsid w:val="0009415E"/>
    <w:rsid w:val="00121ECF"/>
    <w:rsid w:val="001632D6"/>
    <w:rsid w:val="0016559C"/>
    <w:rsid w:val="001F2099"/>
    <w:rsid w:val="00274825"/>
    <w:rsid w:val="00277909"/>
    <w:rsid w:val="003506F8"/>
    <w:rsid w:val="00370EB8"/>
    <w:rsid w:val="00395892"/>
    <w:rsid w:val="003A0609"/>
    <w:rsid w:val="003B461C"/>
    <w:rsid w:val="003C7A7B"/>
    <w:rsid w:val="003E3EBD"/>
    <w:rsid w:val="004A50EE"/>
    <w:rsid w:val="004D3A0F"/>
    <w:rsid w:val="0054336E"/>
    <w:rsid w:val="005725AB"/>
    <w:rsid w:val="005E41A4"/>
    <w:rsid w:val="005F1FD4"/>
    <w:rsid w:val="00605B49"/>
    <w:rsid w:val="006104B2"/>
    <w:rsid w:val="00661535"/>
    <w:rsid w:val="00663E61"/>
    <w:rsid w:val="00680FA0"/>
    <w:rsid w:val="006851FE"/>
    <w:rsid w:val="006A7913"/>
    <w:rsid w:val="00705C49"/>
    <w:rsid w:val="00713B4C"/>
    <w:rsid w:val="00721CD9"/>
    <w:rsid w:val="00736CD6"/>
    <w:rsid w:val="00746838"/>
    <w:rsid w:val="007B2A82"/>
    <w:rsid w:val="007B7DDF"/>
    <w:rsid w:val="007D0EF9"/>
    <w:rsid w:val="007E201D"/>
    <w:rsid w:val="00807469"/>
    <w:rsid w:val="00810F89"/>
    <w:rsid w:val="00827CAC"/>
    <w:rsid w:val="0084105B"/>
    <w:rsid w:val="00861C71"/>
    <w:rsid w:val="00892BE5"/>
    <w:rsid w:val="00911535"/>
    <w:rsid w:val="0092219B"/>
    <w:rsid w:val="00922FAA"/>
    <w:rsid w:val="00936673"/>
    <w:rsid w:val="0099723C"/>
    <w:rsid w:val="009A16AD"/>
    <w:rsid w:val="009A614D"/>
    <w:rsid w:val="009C223C"/>
    <w:rsid w:val="009C4AA2"/>
    <w:rsid w:val="009C5BE2"/>
    <w:rsid w:val="00A05C1F"/>
    <w:rsid w:val="00A305AC"/>
    <w:rsid w:val="00A85C64"/>
    <w:rsid w:val="00AB711A"/>
    <w:rsid w:val="00B01FD4"/>
    <w:rsid w:val="00B35BDB"/>
    <w:rsid w:val="00B44463"/>
    <w:rsid w:val="00B578A9"/>
    <w:rsid w:val="00B84913"/>
    <w:rsid w:val="00BB2C98"/>
    <w:rsid w:val="00BB7FD5"/>
    <w:rsid w:val="00BD6CBF"/>
    <w:rsid w:val="00BE4CCD"/>
    <w:rsid w:val="00C2703D"/>
    <w:rsid w:val="00C40466"/>
    <w:rsid w:val="00CD6898"/>
    <w:rsid w:val="00D03975"/>
    <w:rsid w:val="00D50738"/>
    <w:rsid w:val="00D55387"/>
    <w:rsid w:val="00D61778"/>
    <w:rsid w:val="00D938DF"/>
    <w:rsid w:val="00DD483A"/>
    <w:rsid w:val="00DE3B23"/>
    <w:rsid w:val="00E3205C"/>
    <w:rsid w:val="00E8010B"/>
    <w:rsid w:val="00E90F79"/>
    <w:rsid w:val="00ED0320"/>
    <w:rsid w:val="00EF73A0"/>
    <w:rsid w:val="00F01631"/>
    <w:rsid w:val="00F235F1"/>
    <w:rsid w:val="00F2767E"/>
    <w:rsid w:val="00F6498F"/>
    <w:rsid w:val="00F74C9D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46A090"/>
  <w15:docId w15:val="{B0959C62-D996-4D16-AF3D-D762F569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160"/>
  </w:style>
  <w:style w:type="paragraph" w:styleId="Footer">
    <w:name w:val="footer"/>
    <w:basedOn w:val="Normal"/>
    <w:link w:val="FooterChar"/>
    <w:uiPriority w:val="99"/>
    <w:unhideWhenUsed/>
    <w:rsid w:val="00050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160"/>
  </w:style>
  <w:style w:type="character" w:styleId="CommentReference">
    <w:name w:val="annotation reference"/>
    <w:basedOn w:val="DefaultParagraphFont"/>
    <w:uiPriority w:val="99"/>
    <w:semiHidden/>
    <w:unhideWhenUsed/>
    <w:rsid w:val="00050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1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6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F1FD4"/>
  </w:style>
  <w:style w:type="table" w:styleId="TableGrid">
    <w:name w:val="Table Grid"/>
    <w:basedOn w:val="TableNormal"/>
    <w:rsid w:val="005F1FD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Bristol NHS Foundation Trust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Katharine Wale</dc:creator>
  <cp:lastModifiedBy>Sandra Mulligan</cp:lastModifiedBy>
  <cp:revision>4</cp:revision>
  <dcterms:created xsi:type="dcterms:W3CDTF">2026-05-11T09:58:00Z</dcterms:created>
  <dcterms:modified xsi:type="dcterms:W3CDTF">2026-05-11T15:01:00Z</dcterms:modified>
</cp:coreProperties>
</file>